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A58" w:rsidRDefault="005E3831" w:rsidP="002E0EE5">
      <w:pPr>
        <w:pStyle w:val="aa"/>
        <w:rPr>
          <w:rFonts w:hint="eastAsia"/>
          <w:sz w:val="30"/>
          <w:szCs w:val="30"/>
        </w:rPr>
      </w:pPr>
      <w:r w:rsidRPr="002E0EE5">
        <w:rPr>
          <w:sz w:val="30"/>
          <w:szCs w:val="30"/>
        </w:rPr>
        <w:t>《济宁市未来过滤系统有限公司</w:t>
      </w:r>
      <w:r w:rsidR="002E0EE5" w:rsidRPr="002E0EE5">
        <w:rPr>
          <w:rFonts w:hint="eastAsia"/>
          <w:sz w:val="30"/>
          <w:szCs w:val="30"/>
        </w:rPr>
        <w:t>2019</w:t>
      </w:r>
      <w:r w:rsidRPr="002E0EE5">
        <w:rPr>
          <w:rFonts w:hint="eastAsia"/>
          <w:sz w:val="30"/>
          <w:szCs w:val="30"/>
        </w:rPr>
        <w:t>年招股募资</w:t>
      </w:r>
      <w:r w:rsidR="002E0EE5" w:rsidRPr="002E0EE5">
        <w:rPr>
          <w:rFonts w:hint="eastAsia"/>
          <w:sz w:val="30"/>
          <w:szCs w:val="30"/>
        </w:rPr>
        <w:t>与发债</w:t>
      </w:r>
      <w:r w:rsidRPr="002E0EE5">
        <w:rPr>
          <w:rFonts w:hint="eastAsia"/>
          <w:sz w:val="30"/>
          <w:szCs w:val="30"/>
        </w:rPr>
        <w:t>方案</w:t>
      </w:r>
      <w:r w:rsidRPr="002E0EE5">
        <w:rPr>
          <w:sz w:val="30"/>
          <w:szCs w:val="30"/>
        </w:rPr>
        <w:t>》</w:t>
      </w:r>
    </w:p>
    <w:p w:rsidR="002E0EE5" w:rsidRPr="0069557C" w:rsidRDefault="002E0EE5" w:rsidP="002E0EE5">
      <w:pPr>
        <w:rPr>
          <w:rFonts w:hint="eastAsia"/>
          <w:sz w:val="28"/>
          <w:szCs w:val="28"/>
        </w:rPr>
      </w:pPr>
      <w:r w:rsidRPr="0069557C">
        <w:rPr>
          <w:rFonts w:hint="eastAsia"/>
          <w:sz w:val="28"/>
          <w:szCs w:val="28"/>
        </w:rPr>
        <w:t>尊敬的各位朋友：</w:t>
      </w:r>
    </w:p>
    <w:p w:rsidR="002E0EE5" w:rsidRPr="0069557C" w:rsidRDefault="002E0EE5" w:rsidP="002E0EE5">
      <w:pPr>
        <w:ind w:firstLine="465"/>
        <w:rPr>
          <w:rFonts w:hint="eastAsia"/>
          <w:sz w:val="28"/>
          <w:szCs w:val="28"/>
        </w:rPr>
      </w:pPr>
      <w:r w:rsidRPr="0069557C">
        <w:rPr>
          <w:rFonts w:hint="eastAsia"/>
          <w:sz w:val="28"/>
          <w:szCs w:val="28"/>
        </w:rPr>
        <w:t>大家好！</w:t>
      </w:r>
    </w:p>
    <w:p w:rsidR="0069557C" w:rsidRPr="0069557C" w:rsidRDefault="002E0EE5" w:rsidP="002E0EE5">
      <w:pPr>
        <w:ind w:firstLine="465"/>
        <w:rPr>
          <w:rFonts w:hint="eastAsia"/>
          <w:sz w:val="28"/>
          <w:szCs w:val="28"/>
        </w:rPr>
      </w:pPr>
      <w:r w:rsidRPr="0069557C">
        <w:rPr>
          <w:rFonts w:hint="eastAsia"/>
          <w:sz w:val="28"/>
          <w:szCs w:val="28"/>
        </w:rPr>
        <w:t>四年来，得助于各位同事、朋友的信任与支持，公司从一个非常低的起点发展到了在行业内小范围具一定知名度的公司。</w:t>
      </w:r>
    </w:p>
    <w:p w:rsidR="0069557C" w:rsidRPr="0069557C" w:rsidRDefault="002E0EE5" w:rsidP="002E0EE5">
      <w:pPr>
        <w:ind w:firstLine="465"/>
        <w:rPr>
          <w:rFonts w:hint="eastAsia"/>
          <w:sz w:val="28"/>
          <w:szCs w:val="28"/>
        </w:rPr>
      </w:pPr>
      <w:r w:rsidRPr="0069557C">
        <w:rPr>
          <w:rFonts w:hint="eastAsia"/>
          <w:sz w:val="28"/>
          <w:szCs w:val="28"/>
        </w:rPr>
        <w:t>公司成立于</w:t>
      </w:r>
      <w:r w:rsidRPr="0069557C">
        <w:rPr>
          <w:rFonts w:hint="eastAsia"/>
          <w:sz w:val="28"/>
          <w:szCs w:val="28"/>
        </w:rPr>
        <w:t>2014</w:t>
      </w:r>
      <w:r w:rsidRPr="0069557C">
        <w:rPr>
          <w:rFonts w:hint="eastAsia"/>
          <w:sz w:val="28"/>
          <w:szCs w:val="28"/>
        </w:rPr>
        <w:t>年</w:t>
      </w:r>
      <w:r w:rsidRPr="0069557C">
        <w:rPr>
          <w:rFonts w:hint="eastAsia"/>
          <w:sz w:val="28"/>
          <w:szCs w:val="28"/>
        </w:rPr>
        <w:t>11</w:t>
      </w:r>
      <w:r w:rsidRPr="0069557C">
        <w:rPr>
          <w:rFonts w:hint="eastAsia"/>
          <w:sz w:val="28"/>
          <w:szCs w:val="28"/>
        </w:rPr>
        <w:t>月</w:t>
      </w:r>
      <w:r w:rsidRPr="0069557C">
        <w:rPr>
          <w:rFonts w:hint="eastAsia"/>
          <w:sz w:val="28"/>
          <w:szCs w:val="28"/>
        </w:rPr>
        <w:t>10</w:t>
      </w:r>
      <w:r w:rsidRPr="0069557C">
        <w:rPr>
          <w:rFonts w:hint="eastAsia"/>
          <w:sz w:val="28"/>
          <w:szCs w:val="28"/>
        </w:rPr>
        <w:t>日，按完整年度算，截至</w:t>
      </w:r>
      <w:r w:rsidRPr="0069557C">
        <w:rPr>
          <w:rFonts w:hint="eastAsia"/>
          <w:sz w:val="28"/>
          <w:szCs w:val="28"/>
        </w:rPr>
        <w:t>2018</w:t>
      </w:r>
      <w:r w:rsidRPr="0069557C">
        <w:rPr>
          <w:rFonts w:hint="eastAsia"/>
          <w:sz w:val="28"/>
          <w:szCs w:val="28"/>
        </w:rPr>
        <w:t>年底主营业务收入年均复合增长率超过</w:t>
      </w:r>
      <w:r w:rsidRPr="0069557C">
        <w:rPr>
          <w:rFonts w:hint="eastAsia"/>
          <w:sz w:val="28"/>
          <w:szCs w:val="28"/>
        </w:rPr>
        <w:t>80%</w:t>
      </w:r>
      <w:r w:rsidRPr="0069557C">
        <w:rPr>
          <w:rFonts w:hint="eastAsia"/>
          <w:sz w:val="28"/>
          <w:szCs w:val="28"/>
        </w:rPr>
        <w:t>，总资产年均复合增长率超过</w:t>
      </w:r>
      <w:r w:rsidRPr="0069557C">
        <w:rPr>
          <w:rFonts w:hint="eastAsia"/>
          <w:sz w:val="28"/>
          <w:szCs w:val="28"/>
        </w:rPr>
        <w:t>60%</w:t>
      </w:r>
      <w:r w:rsidRPr="0069557C">
        <w:rPr>
          <w:rFonts w:hint="eastAsia"/>
          <w:sz w:val="28"/>
          <w:szCs w:val="28"/>
        </w:rPr>
        <w:t>。</w:t>
      </w:r>
    </w:p>
    <w:p w:rsidR="0069557C" w:rsidRPr="0069557C" w:rsidRDefault="002E0EE5" w:rsidP="002E0EE5">
      <w:pPr>
        <w:ind w:firstLine="465"/>
        <w:rPr>
          <w:rFonts w:hint="eastAsia"/>
          <w:sz w:val="28"/>
          <w:szCs w:val="28"/>
        </w:rPr>
      </w:pPr>
      <w:r w:rsidRPr="0069557C">
        <w:rPr>
          <w:rFonts w:hint="eastAsia"/>
          <w:sz w:val="28"/>
          <w:szCs w:val="28"/>
        </w:rPr>
        <w:t>截至</w:t>
      </w:r>
      <w:r w:rsidRPr="0069557C">
        <w:rPr>
          <w:rFonts w:hint="eastAsia"/>
          <w:sz w:val="28"/>
          <w:szCs w:val="28"/>
        </w:rPr>
        <w:t>2018</w:t>
      </w:r>
      <w:r w:rsidRPr="0069557C">
        <w:rPr>
          <w:rFonts w:hint="eastAsia"/>
          <w:sz w:val="28"/>
          <w:szCs w:val="28"/>
        </w:rPr>
        <w:t>年，公司直接为</w:t>
      </w:r>
      <w:r w:rsidRPr="0069557C">
        <w:rPr>
          <w:rFonts w:hint="eastAsia"/>
          <w:sz w:val="28"/>
          <w:szCs w:val="28"/>
        </w:rPr>
        <w:t>14</w:t>
      </w:r>
      <w:r w:rsidRPr="0069557C">
        <w:rPr>
          <w:rFonts w:hint="eastAsia"/>
          <w:sz w:val="28"/>
          <w:szCs w:val="28"/>
        </w:rPr>
        <w:t>位个人或家庭提供了就业机会，间接为社会提供和创造了</w:t>
      </w:r>
      <w:r w:rsidR="0069557C" w:rsidRPr="0069557C">
        <w:rPr>
          <w:rFonts w:hint="eastAsia"/>
          <w:sz w:val="28"/>
          <w:szCs w:val="28"/>
        </w:rPr>
        <w:t>30~50</w:t>
      </w:r>
      <w:r w:rsidR="0069557C" w:rsidRPr="0069557C">
        <w:rPr>
          <w:rFonts w:hint="eastAsia"/>
          <w:sz w:val="28"/>
          <w:szCs w:val="28"/>
        </w:rPr>
        <w:t>个工作岗位，间接或直接为国家缴纳了数十万元的税收贡献。</w:t>
      </w:r>
    </w:p>
    <w:p w:rsidR="002E0EE5" w:rsidRPr="0069557C" w:rsidRDefault="0069557C" w:rsidP="002E0EE5">
      <w:pPr>
        <w:ind w:firstLine="465"/>
        <w:rPr>
          <w:rFonts w:hint="eastAsia"/>
          <w:sz w:val="28"/>
          <w:szCs w:val="28"/>
        </w:rPr>
      </w:pPr>
      <w:r w:rsidRPr="0069557C">
        <w:rPr>
          <w:rFonts w:hint="eastAsia"/>
          <w:sz w:val="28"/>
          <w:szCs w:val="28"/>
        </w:rPr>
        <w:t>由公司牵头组织的公益行动为几十个家庭提供了帮助。</w:t>
      </w:r>
    </w:p>
    <w:p w:rsidR="0069557C" w:rsidRPr="0069557C" w:rsidRDefault="0069557C" w:rsidP="002E0EE5">
      <w:pPr>
        <w:ind w:firstLine="465"/>
        <w:rPr>
          <w:rFonts w:hint="eastAsia"/>
          <w:sz w:val="28"/>
          <w:szCs w:val="28"/>
        </w:rPr>
      </w:pPr>
      <w:r w:rsidRPr="0069557C">
        <w:rPr>
          <w:rFonts w:hint="eastAsia"/>
          <w:sz w:val="28"/>
          <w:szCs w:val="28"/>
        </w:rPr>
        <w:t>主打产品巨杉系列空气滤清器以稳定可靠的质量和良好的售后服务获得了广大客户的信赖和认可。</w:t>
      </w:r>
    </w:p>
    <w:p w:rsidR="0069557C" w:rsidRPr="0069557C" w:rsidRDefault="0069557C" w:rsidP="002E0EE5">
      <w:pPr>
        <w:ind w:firstLine="465"/>
        <w:rPr>
          <w:rFonts w:hint="eastAsia"/>
          <w:sz w:val="28"/>
          <w:szCs w:val="28"/>
        </w:rPr>
      </w:pPr>
      <w:r w:rsidRPr="0069557C">
        <w:rPr>
          <w:rFonts w:hint="eastAsia"/>
          <w:sz w:val="28"/>
          <w:szCs w:val="28"/>
        </w:rPr>
        <w:t>截至</w:t>
      </w:r>
      <w:r w:rsidRPr="0069557C">
        <w:rPr>
          <w:rFonts w:hint="eastAsia"/>
          <w:sz w:val="28"/>
          <w:szCs w:val="28"/>
        </w:rPr>
        <w:t>2018</w:t>
      </w:r>
      <w:r w:rsidRPr="0069557C">
        <w:rPr>
          <w:rFonts w:hint="eastAsia"/>
          <w:sz w:val="28"/>
          <w:szCs w:val="28"/>
        </w:rPr>
        <w:t>年底，公司股东已经达到</w:t>
      </w:r>
      <w:r w:rsidRPr="0069557C">
        <w:rPr>
          <w:rFonts w:hint="eastAsia"/>
          <w:sz w:val="28"/>
          <w:szCs w:val="28"/>
        </w:rPr>
        <w:t>15</w:t>
      </w:r>
      <w:r w:rsidRPr="0069557C">
        <w:rPr>
          <w:rFonts w:hint="eastAsia"/>
          <w:sz w:val="28"/>
          <w:szCs w:val="28"/>
        </w:rPr>
        <w:t>人。</w:t>
      </w:r>
    </w:p>
    <w:p w:rsidR="0069557C" w:rsidRDefault="0069557C" w:rsidP="002E0EE5">
      <w:pPr>
        <w:ind w:firstLine="465"/>
        <w:rPr>
          <w:rFonts w:hint="eastAsia"/>
          <w:sz w:val="28"/>
          <w:szCs w:val="28"/>
        </w:rPr>
      </w:pPr>
      <w:r w:rsidRPr="0069557C">
        <w:rPr>
          <w:rFonts w:hint="eastAsia"/>
          <w:sz w:val="28"/>
          <w:szCs w:val="28"/>
        </w:rPr>
        <w:t>展望未来，公司认为自身有着良好的发展前景，并且源于对自身的自信，认为未来五年都将是加快发展、迅速发展期，</w:t>
      </w:r>
      <w:r w:rsidRPr="0069557C">
        <w:rPr>
          <w:rFonts w:hint="eastAsia"/>
          <w:sz w:val="28"/>
          <w:szCs w:val="28"/>
        </w:rPr>
        <w:t>2019</w:t>
      </w:r>
      <w:r w:rsidRPr="0069557C">
        <w:rPr>
          <w:rFonts w:hint="eastAsia"/>
          <w:sz w:val="28"/>
          <w:szCs w:val="28"/>
        </w:rPr>
        <w:t>年招股募资方案也是欲结识更多志同道合者，愿与之一起共同努力、共同奋斗、以期</w:t>
      </w:r>
      <w:r w:rsidR="00E92415">
        <w:rPr>
          <w:rFonts w:hint="eastAsia"/>
          <w:sz w:val="28"/>
          <w:szCs w:val="28"/>
        </w:rPr>
        <w:t>共同发展、共同进步，也愿有更多具长远眼光的人加入，享受到公司发展</w:t>
      </w:r>
      <w:r w:rsidRPr="0069557C">
        <w:rPr>
          <w:rFonts w:hint="eastAsia"/>
          <w:sz w:val="28"/>
          <w:szCs w:val="28"/>
        </w:rPr>
        <w:t>带来的丰厚回报。</w:t>
      </w:r>
    </w:p>
    <w:p w:rsidR="00E92415" w:rsidRDefault="00E92415" w:rsidP="002E0EE5">
      <w:pPr>
        <w:ind w:firstLine="465"/>
        <w:rPr>
          <w:rFonts w:hint="eastAsia"/>
          <w:sz w:val="28"/>
          <w:szCs w:val="28"/>
        </w:rPr>
      </w:pPr>
      <w:r>
        <w:rPr>
          <w:rFonts w:hint="eastAsia"/>
          <w:sz w:val="28"/>
          <w:szCs w:val="28"/>
        </w:rPr>
        <w:t>如欲了解更多公司信息请按以下方式联系我们：</w:t>
      </w:r>
    </w:p>
    <w:p w:rsidR="00E92415" w:rsidRDefault="00E92415" w:rsidP="002E0EE5">
      <w:pPr>
        <w:ind w:firstLine="465"/>
        <w:rPr>
          <w:rFonts w:hint="eastAsia"/>
          <w:sz w:val="28"/>
          <w:szCs w:val="28"/>
        </w:rPr>
      </w:pPr>
      <w:r>
        <w:rPr>
          <w:rFonts w:hint="eastAsia"/>
          <w:sz w:val="28"/>
          <w:szCs w:val="28"/>
        </w:rPr>
        <w:t>电话：</w:t>
      </w:r>
      <w:r>
        <w:rPr>
          <w:rFonts w:hint="eastAsia"/>
          <w:sz w:val="28"/>
          <w:szCs w:val="28"/>
        </w:rPr>
        <w:t>0537-4449880   18853725880</w:t>
      </w:r>
    </w:p>
    <w:p w:rsidR="00E92415" w:rsidRDefault="00E92415" w:rsidP="002E0EE5">
      <w:pPr>
        <w:ind w:firstLine="465"/>
        <w:rPr>
          <w:rFonts w:hint="eastAsia"/>
          <w:sz w:val="28"/>
          <w:szCs w:val="28"/>
        </w:rPr>
      </w:pPr>
      <w:r>
        <w:rPr>
          <w:rFonts w:hint="eastAsia"/>
          <w:sz w:val="28"/>
          <w:szCs w:val="28"/>
        </w:rPr>
        <w:lastRenderedPageBreak/>
        <w:t>QQ/</w:t>
      </w:r>
      <w:r>
        <w:rPr>
          <w:rFonts w:hint="eastAsia"/>
          <w:sz w:val="28"/>
          <w:szCs w:val="28"/>
        </w:rPr>
        <w:t>微信：</w:t>
      </w:r>
      <w:r>
        <w:rPr>
          <w:rFonts w:hint="eastAsia"/>
          <w:sz w:val="28"/>
          <w:szCs w:val="28"/>
        </w:rPr>
        <w:t>2864889730</w:t>
      </w:r>
    </w:p>
    <w:p w:rsidR="000E6077" w:rsidRDefault="00E92415" w:rsidP="00031E3F">
      <w:pPr>
        <w:ind w:firstLine="465"/>
        <w:rPr>
          <w:rFonts w:hint="eastAsia"/>
          <w:sz w:val="28"/>
          <w:szCs w:val="28"/>
        </w:rPr>
      </w:pPr>
      <w:r>
        <w:rPr>
          <w:rFonts w:hint="eastAsia"/>
          <w:sz w:val="28"/>
          <w:szCs w:val="28"/>
        </w:rPr>
        <w:t>网址：</w:t>
      </w:r>
      <w:hyperlink r:id="rId7" w:history="1">
        <w:r w:rsidRPr="0013197D">
          <w:rPr>
            <w:rStyle w:val="ab"/>
            <w:rFonts w:hint="eastAsia"/>
            <w:sz w:val="28"/>
            <w:szCs w:val="28"/>
          </w:rPr>
          <w:t>www.weilaikonggu.com</w:t>
        </w:r>
      </w:hyperlink>
      <w:r>
        <w:rPr>
          <w:rFonts w:hint="eastAsia"/>
          <w:sz w:val="28"/>
          <w:szCs w:val="28"/>
        </w:rPr>
        <w:t xml:space="preserve">  </w:t>
      </w:r>
      <w:hyperlink r:id="rId8" w:history="1">
        <w:r w:rsidRPr="0013197D">
          <w:rPr>
            <w:rStyle w:val="ab"/>
            <w:rFonts w:hint="eastAsia"/>
            <w:sz w:val="28"/>
            <w:szCs w:val="28"/>
          </w:rPr>
          <w:t>www.weilai.pro</w:t>
        </w:r>
      </w:hyperlink>
      <w:r>
        <w:rPr>
          <w:rFonts w:hint="eastAsia"/>
          <w:sz w:val="28"/>
          <w:szCs w:val="28"/>
        </w:rPr>
        <w:tab/>
      </w:r>
    </w:p>
    <w:p w:rsidR="000E6077" w:rsidRDefault="000E6077" w:rsidP="000E6077">
      <w:pPr>
        <w:rPr>
          <w:rFonts w:hint="eastAsia"/>
          <w:sz w:val="28"/>
          <w:szCs w:val="28"/>
        </w:rPr>
      </w:pPr>
    </w:p>
    <w:p w:rsidR="00031E3F" w:rsidRPr="0069557C" w:rsidRDefault="003F3127" w:rsidP="000E6077">
      <w:pPr>
        <w:rPr>
          <w:sz w:val="28"/>
          <w:szCs w:val="28"/>
        </w:rPr>
      </w:pPr>
      <w:r>
        <w:rPr>
          <w:rFonts w:hint="eastAsia"/>
          <w:sz w:val="28"/>
          <w:szCs w:val="28"/>
        </w:rPr>
        <w:t>未来公司</w:t>
      </w:r>
      <w:r w:rsidR="000E6077">
        <w:rPr>
          <w:rFonts w:hint="eastAsia"/>
          <w:sz w:val="28"/>
          <w:szCs w:val="28"/>
        </w:rPr>
        <w:t>2019</w:t>
      </w:r>
      <w:r w:rsidR="000E6077">
        <w:rPr>
          <w:rFonts w:hint="eastAsia"/>
          <w:sz w:val="28"/>
          <w:szCs w:val="28"/>
        </w:rPr>
        <w:t>年度招股募资与发债方案如下：</w:t>
      </w:r>
    </w:p>
    <w:p w:rsidR="006054A6" w:rsidRPr="00031E3F" w:rsidRDefault="00031E3F" w:rsidP="00031E3F">
      <w:pPr>
        <w:pStyle w:val="a4"/>
        <w:rPr>
          <w:rStyle w:val="a7"/>
          <w:b/>
          <w:bCs/>
        </w:rPr>
      </w:pPr>
      <w:r>
        <w:rPr>
          <w:rStyle w:val="a7"/>
          <w:rFonts w:hint="eastAsia"/>
          <w:b/>
          <w:bCs/>
          <w:sz w:val="28"/>
          <w:szCs w:val="28"/>
        </w:rPr>
        <w:t>招股</w:t>
      </w:r>
      <w:r w:rsidR="006054A6" w:rsidRPr="00031E3F">
        <w:rPr>
          <w:rStyle w:val="a7"/>
          <w:rFonts w:hint="eastAsia"/>
          <w:b/>
          <w:bCs/>
          <w:sz w:val="28"/>
          <w:szCs w:val="28"/>
        </w:rPr>
        <w:t>募资</w:t>
      </w:r>
      <w:r>
        <w:rPr>
          <w:rStyle w:val="a7"/>
          <w:rFonts w:hint="eastAsia"/>
          <w:b/>
          <w:bCs/>
          <w:sz w:val="28"/>
          <w:szCs w:val="28"/>
        </w:rPr>
        <w:t>方案</w:t>
      </w:r>
    </w:p>
    <w:p w:rsidR="006054A6" w:rsidRPr="00614658" w:rsidRDefault="006054A6" w:rsidP="006054A6">
      <w:pPr>
        <w:pStyle w:val="a3"/>
        <w:numPr>
          <w:ilvl w:val="0"/>
          <w:numId w:val="11"/>
        </w:numPr>
        <w:ind w:firstLineChars="0"/>
        <w:rPr>
          <w:color w:val="FF0000"/>
          <w:sz w:val="24"/>
          <w:szCs w:val="24"/>
        </w:rPr>
      </w:pPr>
      <w:r w:rsidRPr="00614658">
        <w:rPr>
          <w:rFonts w:hint="eastAsia"/>
          <w:color w:val="FF0000"/>
          <w:sz w:val="24"/>
          <w:szCs w:val="24"/>
        </w:rPr>
        <w:t>截至</w:t>
      </w:r>
      <w:r w:rsidR="00E33706" w:rsidRPr="00614658">
        <w:rPr>
          <w:rFonts w:hint="eastAsia"/>
          <w:color w:val="FF0000"/>
          <w:sz w:val="24"/>
          <w:szCs w:val="24"/>
        </w:rPr>
        <w:t>2018</w:t>
      </w:r>
      <w:r w:rsidRPr="00614658">
        <w:rPr>
          <w:rFonts w:hint="eastAsia"/>
          <w:color w:val="FF0000"/>
          <w:sz w:val="24"/>
          <w:szCs w:val="24"/>
        </w:rPr>
        <w:t>年</w:t>
      </w:r>
      <w:r w:rsidR="00031E3F" w:rsidRPr="00614658">
        <w:rPr>
          <w:rFonts w:hint="eastAsia"/>
          <w:color w:val="FF0000"/>
          <w:sz w:val="24"/>
          <w:szCs w:val="24"/>
        </w:rPr>
        <w:t>12</w:t>
      </w:r>
      <w:r w:rsidR="00E33706" w:rsidRPr="00614658">
        <w:rPr>
          <w:rFonts w:hint="eastAsia"/>
          <w:color w:val="FF0000"/>
          <w:sz w:val="24"/>
          <w:szCs w:val="24"/>
        </w:rPr>
        <w:t>月</w:t>
      </w:r>
      <w:r w:rsidR="00031E3F" w:rsidRPr="00614658">
        <w:rPr>
          <w:rFonts w:hint="eastAsia"/>
          <w:color w:val="FF0000"/>
          <w:sz w:val="24"/>
          <w:szCs w:val="24"/>
        </w:rPr>
        <w:t>31</w:t>
      </w:r>
      <w:r w:rsidR="00E33706" w:rsidRPr="00614658">
        <w:rPr>
          <w:rFonts w:hint="eastAsia"/>
          <w:color w:val="FF0000"/>
          <w:sz w:val="24"/>
          <w:szCs w:val="24"/>
        </w:rPr>
        <w:t>日</w:t>
      </w:r>
      <w:r w:rsidRPr="00614658">
        <w:rPr>
          <w:rFonts w:hint="eastAsia"/>
          <w:color w:val="FF0000"/>
          <w:sz w:val="24"/>
          <w:szCs w:val="24"/>
        </w:rPr>
        <w:t>，公司总股份数为</w:t>
      </w:r>
      <w:r w:rsidR="00031E3F" w:rsidRPr="00614658">
        <w:rPr>
          <w:rFonts w:hint="eastAsia"/>
          <w:color w:val="FF0000"/>
          <w:sz w:val="24"/>
          <w:szCs w:val="24"/>
          <w:u w:val="single"/>
        </w:rPr>
        <w:t>1300183</w:t>
      </w:r>
      <w:r w:rsidRPr="00614658">
        <w:rPr>
          <w:rFonts w:hint="eastAsia"/>
          <w:color w:val="FF0000"/>
          <w:sz w:val="24"/>
          <w:szCs w:val="24"/>
        </w:rPr>
        <w:t>股，每股</w:t>
      </w:r>
      <w:r w:rsidR="00C82CF0" w:rsidRPr="00614658">
        <w:rPr>
          <w:rFonts w:hint="eastAsia"/>
          <w:color w:val="FF0000"/>
          <w:sz w:val="24"/>
          <w:szCs w:val="24"/>
          <w:u w:val="single"/>
        </w:rPr>
        <w:t>1.</w:t>
      </w:r>
      <w:r w:rsidR="00031E3F" w:rsidRPr="00614658">
        <w:rPr>
          <w:rFonts w:hint="eastAsia"/>
          <w:color w:val="FF0000"/>
          <w:sz w:val="24"/>
          <w:szCs w:val="24"/>
          <w:u w:val="single"/>
        </w:rPr>
        <w:t>3121</w:t>
      </w:r>
      <w:r w:rsidRPr="00614658">
        <w:rPr>
          <w:rFonts w:hint="eastAsia"/>
          <w:color w:val="FF0000"/>
          <w:sz w:val="24"/>
          <w:szCs w:val="24"/>
        </w:rPr>
        <w:t>元人民币。</w:t>
      </w:r>
    </w:p>
    <w:p w:rsidR="006054A6" w:rsidRPr="00614658" w:rsidRDefault="006054A6" w:rsidP="006054A6">
      <w:pPr>
        <w:pStyle w:val="a3"/>
        <w:numPr>
          <w:ilvl w:val="0"/>
          <w:numId w:val="11"/>
        </w:numPr>
        <w:ind w:firstLineChars="0"/>
        <w:rPr>
          <w:sz w:val="24"/>
          <w:szCs w:val="24"/>
        </w:rPr>
      </w:pPr>
      <w:r w:rsidRPr="00614658">
        <w:rPr>
          <w:rFonts w:hint="eastAsia"/>
          <w:sz w:val="24"/>
          <w:szCs w:val="24"/>
        </w:rPr>
        <w:t>股票认购价定为</w:t>
      </w:r>
      <w:r w:rsidRPr="00614658">
        <w:rPr>
          <w:rFonts w:hint="eastAsia"/>
          <w:color w:val="FF0000"/>
          <w:sz w:val="24"/>
          <w:szCs w:val="24"/>
        </w:rPr>
        <w:t>每股</w:t>
      </w:r>
      <w:r w:rsidR="00031E3F" w:rsidRPr="00614658">
        <w:rPr>
          <w:rFonts w:hint="eastAsia"/>
          <w:color w:val="FF0000"/>
          <w:sz w:val="24"/>
          <w:szCs w:val="24"/>
          <w:u w:val="single"/>
        </w:rPr>
        <w:t>2.0</w:t>
      </w:r>
      <w:r w:rsidRPr="00614658">
        <w:rPr>
          <w:rFonts w:hint="eastAsia"/>
          <w:color w:val="FF0000"/>
          <w:sz w:val="24"/>
          <w:szCs w:val="24"/>
        </w:rPr>
        <w:t>元</w:t>
      </w:r>
      <w:r w:rsidRPr="00614658">
        <w:rPr>
          <w:rFonts w:hint="eastAsia"/>
          <w:sz w:val="24"/>
          <w:szCs w:val="24"/>
        </w:rPr>
        <w:t>，</w:t>
      </w:r>
      <w:r w:rsidR="00814965" w:rsidRPr="00614658">
        <w:rPr>
          <w:rFonts w:hint="eastAsia"/>
          <w:sz w:val="24"/>
          <w:szCs w:val="24"/>
        </w:rPr>
        <w:t>以</w:t>
      </w:r>
      <w:r w:rsidRPr="00614658">
        <w:rPr>
          <w:rFonts w:hint="eastAsia"/>
          <w:color w:val="FF0000"/>
          <w:sz w:val="24"/>
          <w:szCs w:val="24"/>
          <w:u w:val="single"/>
        </w:rPr>
        <w:t>10</w:t>
      </w:r>
      <w:r w:rsidR="00031E3F" w:rsidRPr="00614658">
        <w:rPr>
          <w:rFonts w:hint="eastAsia"/>
          <w:color w:val="FF0000"/>
          <w:sz w:val="24"/>
          <w:szCs w:val="24"/>
          <w:u w:val="single"/>
        </w:rPr>
        <w:t>0</w:t>
      </w:r>
      <w:r w:rsidRPr="00614658">
        <w:rPr>
          <w:rFonts w:hint="eastAsia"/>
          <w:color w:val="FF0000"/>
          <w:sz w:val="24"/>
          <w:szCs w:val="24"/>
          <w:u w:val="single"/>
        </w:rPr>
        <w:t>00</w:t>
      </w:r>
      <w:r w:rsidRPr="00614658">
        <w:rPr>
          <w:rFonts w:hint="eastAsia"/>
          <w:sz w:val="24"/>
          <w:szCs w:val="24"/>
        </w:rPr>
        <w:t>股为一认购单位。</w:t>
      </w:r>
      <w:r w:rsidR="00614658" w:rsidRPr="00614658">
        <w:rPr>
          <w:rFonts w:hint="eastAsia"/>
          <w:sz w:val="24"/>
          <w:szCs w:val="24"/>
        </w:rPr>
        <w:t>公司股东认购价定为</w:t>
      </w:r>
      <w:r w:rsidR="00614658" w:rsidRPr="00614658">
        <w:rPr>
          <w:rFonts w:hint="eastAsia"/>
          <w:color w:val="FF0000"/>
          <w:sz w:val="24"/>
          <w:szCs w:val="24"/>
          <w:u w:val="single"/>
        </w:rPr>
        <w:t>每股</w:t>
      </w:r>
      <w:r w:rsidR="00614658" w:rsidRPr="00614658">
        <w:rPr>
          <w:rFonts w:hint="eastAsia"/>
          <w:color w:val="FF0000"/>
          <w:sz w:val="24"/>
          <w:szCs w:val="24"/>
          <w:u w:val="single"/>
        </w:rPr>
        <w:t>1.6</w:t>
      </w:r>
      <w:r w:rsidR="00614658" w:rsidRPr="00614658">
        <w:rPr>
          <w:rFonts w:hint="eastAsia"/>
          <w:sz w:val="24"/>
          <w:szCs w:val="24"/>
        </w:rPr>
        <w:t>元，以</w:t>
      </w:r>
      <w:r w:rsidR="00614658" w:rsidRPr="00614658">
        <w:rPr>
          <w:rFonts w:hint="eastAsia"/>
          <w:color w:val="FF0000"/>
          <w:sz w:val="24"/>
          <w:szCs w:val="24"/>
          <w:u w:val="single"/>
        </w:rPr>
        <w:t>10000</w:t>
      </w:r>
      <w:r w:rsidR="00614658" w:rsidRPr="00614658">
        <w:rPr>
          <w:rFonts w:hint="eastAsia"/>
          <w:sz w:val="24"/>
          <w:szCs w:val="24"/>
        </w:rPr>
        <w:t>股为一认购单位。</w:t>
      </w:r>
    </w:p>
    <w:p w:rsidR="006054A6" w:rsidRPr="00614658" w:rsidRDefault="006054A6" w:rsidP="006054A6">
      <w:pPr>
        <w:pStyle w:val="a3"/>
        <w:numPr>
          <w:ilvl w:val="0"/>
          <w:numId w:val="11"/>
        </w:numPr>
        <w:ind w:firstLineChars="0"/>
        <w:rPr>
          <w:rFonts w:hint="eastAsia"/>
          <w:sz w:val="24"/>
          <w:szCs w:val="24"/>
        </w:rPr>
      </w:pPr>
      <w:r w:rsidRPr="00614658">
        <w:rPr>
          <w:rFonts w:hint="eastAsia"/>
          <w:sz w:val="24"/>
          <w:szCs w:val="24"/>
        </w:rPr>
        <w:t>经销商入股起始资金</w:t>
      </w:r>
      <w:r w:rsidRPr="00614658">
        <w:rPr>
          <w:rFonts w:hint="eastAsia"/>
          <w:color w:val="FF0000"/>
          <w:sz w:val="24"/>
          <w:szCs w:val="24"/>
        </w:rPr>
        <w:t>不低于</w:t>
      </w:r>
      <w:r w:rsidR="00031E3F" w:rsidRPr="00614658">
        <w:rPr>
          <w:rFonts w:hint="eastAsia"/>
          <w:color w:val="FF0000"/>
          <w:sz w:val="24"/>
          <w:szCs w:val="24"/>
          <w:u w:val="single"/>
        </w:rPr>
        <w:t>40</w:t>
      </w:r>
      <w:r w:rsidRPr="00614658">
        <w:rPr>
          <w:rFonts w:hint="eastAsia"/>
          <w:color w:val="FF0000"/>
          <w:sz w:val="24"/>
          <w:szCs w:val="24"/>
          <w:u w:val="single"/>
        </w:rPr>
        <w:t>000</w:t>
      </w:r>
      <w:r w:rsidRPr="00614658">
        <w:rPr>
          <w:rFonts w:hint="eastAsia"/>
          <w:color w:val="FF0000"/>
          <w:sz w:val="24"/>
          <w:szCs w:val="24"/>
        </w:rPr>
        <w:t>元人民币，合</w:t>
      </w:r>
      <w:r w:rsidR="00E33706" w:rsidRPr="00614658">
        <w:rPr>
          <w:rFonts w:hint="eastAsia"/>
          <w:color w:val="FF0000"/>
          <w:sz w:val="24"/>
          <w:szCs w:val="24"/>
          <w:u w:val="single"/>
        </w:rPr>
        <w:t>2</w:t>
      </w:r>
      <w:r w:rsidR="00814965" w:rsidRPr="00614658">
        <w:rPr>
          <w:rFonts w:hint="eastAsia"/>
          <w:color w:val="FF0000"/>
          <w:sz w:val="24"/>
          <w:szCs w:val="24"/>
          <w:u w:val="single"/>
        </w:rPr>
        <w:t>0000</w:t>
      </w:r>
      <w:r w:rsidRPr="00614658">
        <w:rPr>
          <w:rFonts w:hint="eastAsia"/>
          <w:color w:val="FF0000"/>
          <w:sz w:val="24"/>
          <w:szCs w:val="24"/>
        </w:rPr>
        <w:t>股</w:t>
      </w:r>
      <w:r w:rsidRPr="00614658">
        <w:rPr>
          <w:rFonts w:hint="eastAsia"/>
          <w:sz w:val="24"/>
          <w:szCs w:val="24"/>
        </w:rPr>
        <w:t>；其他投资人入股起始资金</w:t>
      </w:r>
      <w:r w:rsidRPr="00614658">
        <w:rPr>
          <w:rFonts w:hint="eastAsia"/>
          <w:color w:val="FF0000"/>
          <w:sz w:val="24"/>
          <w:szCs w:val="24"/>
        </w:rPr>
        <w:t>不低于</w:t>
      </w:r>
      <w:r w:rsidR="00031E3F" w:rsidRPr="00614658">
        <w:rPr>
          <w:rFonts w:hint="eastAsia"/>
          <w:color w:val="FF0000"/>
          <w:sz w:val="24"/>
          <w:szCs w:val="24"/>
          <w:u w:val="single"/>
        </w:rPr>
        <w:t>20</w:t>
      </w:r>
      <w:r w:rsidRPr="00614658">
        <w:rPr>
          <w:rFonts w:hint="eastAsia"/>
          <w:color w:val="FF0000"/>
          <w:sz w:val="24"/>
          <w:szCs w:val="24"/>
          <w:u w:val="single"/>
        </w:rPr>
        <w:t>000</w:t>
      </w:r>
      <w:r w:rsidRPr="00614658">
        <w:rPr>
          <w:rFonts w:hint="eastAsia"/>
          <w:color w:val="FF0000"/>
          <w:sz w:val="24"/>
          <w:szCs w:val="24"/>
        </w:rPr>
        <w:t>元人民币，合</w:t>
      </w:r>
      <w:r w:rsidR="00814965" w:rsidRPr="00614658">
        <w:rPr>
          <w:rFonts w:hint="eastAsia"/>
          <w:color w:val="FF0000"/>
          <w:sz w:val="24"/>
          <w:szCs w:val="24"/>
          <w:u w:val="single"/>
        </w:rPr>
        <w:t>10000</w:t>
      </w:r>
      <w:r w:rsidRPr="00614658">
        <w:rPr>
          <w:rFonts w:hint="eastAsia"/>
          <w:color w:val="FF0000"/>
          <w:sz w:val="24"/>
          <w:szCs w:val="24"/>
        </w:rPr>
        <w:t>股</w:t>
      </w:r>
      <w:r w:rsidRPr="00614658">
        <w:rPr>
          <w:rFonts w:hint="eastAsia"/>
          <w:sz w:val="24"/>
          <w:szCs w:val="24"/>
        </w:rPr>
        <w:t>。</w:t>
      </w:r>
    </w:p>
    <w:p w:rsidR="00614658" w:rsidRPr="00614658" w:rsidRDefault="00614658" w:rsidP="006054A6">
      <w:pPr>
        <w:pStyle w:val="a3"/>
        <w:numPr>
          <w:ilvl w:val="0"/>
          <w:numId w:val="11"/>
        </w:numPr>
        <w:ind w:firstLineChars="0"/>
        <w:rPr>
          <w:sz w:val="24"/>
          <w:szCs w:val="24"/>
        </w:rPr>
      </w:pPr>
      <w:r w:rsidRPr="00614658">
        <w:rPr>
          <w:rFonts w:hint="eastAsia"/>
          <w:sz w:val="24"/>
          <w:szCs w:val="24"/>
        </w:rPr>
        <w:t>公司支付投资人入股金额的</w:t>
      </w:r>
      <w:r w:rsidRPr="00614658">
        <w:rPr>
          <w:rFonts w:hint="eastAsia"/>
          <w:sz w:val="24"/>
          <w:szCs w:val="24"/>
        </w:rPr>
        <w:t>5%</w:t>
      </w:r>
      <w:r w:rsidRPr="00614658">
        <w:rPr>
          <w:rFonts w:hint="eastAsia"/>
          <w:sz w:val="24"/>
          <w:szCs w:val="24"/>
        </w:rPr>
        <w:t>年固定收益，共计</w:t>
      </w:r>
      <w:r w:rsidRPr="00614658">
        <w:rPr>
          <w:rFonts w:hint="eastAsia"/>
          <w:sz w:val="24"/>
          <w:szCs w:val="24"/>
        </w:rPr>
        <w:t>3</w:t>
      </w:r>
      <w:r w:rsidRPr="00614658">
        <w:rPr>
          <w:rFonts w:hint="eastAsia"/>
          <w:sz w:val="24"/>
          <w:szCs w:val="24"/>
        </w:rPr>
        <w:t>年。（经销商货值入股方案不支付）</w:t>
      </w:r>
    </w:p>
    <w:p w:rsidR="006054A6" w:rsidRPr="00614658" w:rsidRDefault="006054A6" w:rsidP="006054A6">
      <w:pPr>
        <w:pStyle w:val="a3"/>
        <w:numPr>
          <w:ilvl w:val="0"/>
          <w:numId w:val="11"/>
        </w:numPr>
        <w:ind w:firstLineChars="0"/>
        <w:rPr>
          <w:sz w:val="24"/>
          <w:szCs w:val="24"/>
        </w:rPr>
      </w:pPr>
      <w:r w:rsidRPr="00614658">
        <w:rPr>
          <w:rFonts w:hint="eastAsia"/>
          <w:sz w:val="24"/>
          <w:szCs w:val="24"/>
        </w:rPr>
        <w:t>认购起始日从</w:t>
      </w:r>
      <w:r w:rsidR="00031E3F" w:rsidRPr="00614658">
        <w:rPr>
          <w:rFonts w:hint="eastAsia"/>
          <w:color w:val="FF0000"/>
          <w:sz w:val="24"/>
          <w:szCs w:val="24"/>
          <w:u w:val="single"/>
        </w:rPr>
        <w:t>2019</w:t>
      </w:r>
      <w:r w:rsidRPr="00614658">
        <w:rPr>
          <w:rFonts w:hint="eastAsia"/>
          <w:color w:val="FF0000"/>
          <w:sz w:val="24"/>
          <w:szCs w:val="24"/>
          <w:u w:val="single"/>
        </w:rPr>
        <w:t>年</w:t>
      </w:r>
      <w:r w:rsidR="00814965" w:rsidRPr="00614658">
        <w:rPr>
          <w:rFonts w:hint="eastAsia"/>
          <w:color w:val="FF0000"/>
          <w:sz w:val="24"/>
          <w:szCs w:val="24"/>
          <w:u w:val="single"/>
        </w:rPr>
        <w:t>02</w:t>
      </w:r>
      <w:r w:rsidRPr="00614658">
        <w:rPr>
          <w:rFonts w:hint="eastAsia"/>
          <w:color w:val="FF0000"/>
          <w:sz w:val="24"/>
          <w:szCs w:val="24"/>
          <w:u w:val="single"/>
        </w:rPr>
        <w:t>月</w:t>
      </w:r>
      <w:r w:rsidR="00031E3F" w:rsidRPr="00614658">
        <w:rPr>
          <w:rFonts w:hint="eastAsia"/>
          <w:color w:val="FF0000"/>
          <w:sz w:val="24"/>
          <w:szCs w:val="24"/>
          <w:u w:val="single"/>
        </w:rPr>
        <w:t>01</w:t>
      </w:r>
      <w:r w:rsidRPr="00614658">
        <w:rPr>
          <w:rFonts w:hint="eastAsia"/>
          <w:color w:val="FF0000"/>
          <w:sz w:val="24"/>
          <w:szCs w:val="24"/>
          <w:u w:val="single"/>
        </w:rPr>
        <w:t>日</w:t>
      </w:r>
      <w:r w:rsidRPr="00614658">
        <w:rPr>
          <w:rFonts w:hint="eastAsia"/>
          <w:sz w:val="24"/>
          <w:szCs w:val="24"/>
        </w:rPr>
        <w:t>起，至</w:t>
      </w:r>
      <w:r w:rsidR="00031E3F" w:rsidRPr="00614658">
        <w:rPr>
          <w:rFonts w:hint="eastAsia"/>
          <w:color w:val="FF0000"/>
          <w:sz w:val="24"/>
          <w:szCs w:val="24"/>
          <w:u w:val="single"/>
        </w:rPr>
        <w:t>2019</w:t>
      </w:r>
      <w:r w:rsidRPr="00614658">
        <w:rPr>
          <w:rFonts w:hint="eastAsia"/>
          <w:color w:val="FF0000"/>
          <w:sz w:val="24"/>
          <w:szCs w:val="24"/>
          <w:u w:val="single"/>
        </w:rPr>
        <w:t>年</w:t>
      </w:r>
      <w:r w:rsidRPr="00614658">
        <w:rPr>
          <w:rFonts w:hint="eastAsia"/>
          <w:color w:val="FF0000"/>
          <w:sz w:val="24"/>
          <w:szCs w:val="24"/>
          <w:u w:val="single"/>
        </w:rPr>
        <w:t>06</w:t>
      </w:r>
      <w:r w:rsidRPr="00614658">
        <w:rPr>
          <w:rFonts w:hint="eastAsia"/>
          <w:color w:val="FF0000"/>
          <w:sz w:val="24"/>
          <w:szCs w:val="24"/>
          <w:u w:val="single"/>
        </w:rPr>
        <w:t>月</w:t>
      </w:r>
      <w:r w:rsidRPr="00614658">
        <w:rPr>
          <w:rFonts w:hint="eastAsia"/>
          <w:color w:val="FF0000"/>
          <w:sz w:val="24"/>
          <w:szCs w:val="24"/>
          <w:u w:val="single"/>
        </w:rPr>
        <w:t>30</w:t>
      </w:r>
      <w:r w:rsidRPr="00614658">
        <w:rPr>
          <w:rFonts w:hint="eastAsia"/>
          <w:sz w:val="24"/>
          <w:szCs w:val="24"/>
        </w:rPr>
        <w:t>日止。</w:t>
      </w:r>
      <w:r w:rsidR="00031E3F" w:rsidRPr="00614658">
        <w:rPr>
          <w:rFonts w:hint="eastAsia"/>
          <w:sz w:val="24"/>
          <w:szCs w:val="24"/>
        </w:rPr>
        <w:t>（</w:t>
      </w:r>
      <w:r w:rsidR="00031E3F" w:rsidRPr="00614658">
        <w:rPr>
          <w:rFonts w:hint="eastAsia"/>
          <w:sz w:val="24"/>
          <w:szCs w:val="24"/>
        </w:rPr>
        <w:t>06</w:t>
      </w:r>
      <w:r w:rsidR="00031E3F" w:rsidRPr="00614658">
        <w:rPr>
          <w:rFonts w:hint="eastAsia"/>
          <w:sz w:val="24"/>
          <w:szCs w:val="24"/>
        </w:rPr>
        <w:t>月</w:t>
      </w:r>
      <w:r w:rsidR="00031E3F" w:rsidRPr="00614658">
        <w:rPr>
          <w:rFonts w:hint="eastAsia"/>
          <w:sz w:val="24"/>
          <w:szCs w:val="24"/>
        </w:rPr>
        <w:t>30</w:t>
      </w:r>
      <w:r w:rsidR="00031E3F" w:rsidRPr="00614658">
        <w:rPr>
          <w:rFonts w:hint="eastAsia"/>
          <w:sz w:val="24"/>
          <w:szCs w:val="24"/>
        </w:rPr>
        <w:t>日后入股条件另行商定）</w:t>
      </w:r>
    </w:p>
    <w:p w:rsidR="006054A6" w:rsidRPr="00614658" w:rsidRDefault="006054A6" w:rsidP="006054A6">
      <w:pPr>
        <w:pStyle w:val="a3"/>
        <w:numPr>
          <w:ilvl w:val="0"/>
          <w:numId w:val="11"/>
        </w:numPr>
        <w:ind w:firstLineChars="0"/>
        <w:rPr>
          <w:sz w:val="24"/>
          <w:szCs w:val="24"/>
        </w:rPr>
      </w:pPr>
      <w:r w:rsidRPr="00614658">
        <w:rPr>
          <w:rFonts w:hint="eastAsia"/>
          <w:sz w:val="24"/>
          <w:szCs w:val="24"/>
        </w:rPr>
        <w:t>本次募资总额最高不超过</w:t>
      </w:r>
      <w:r w:rsidR="00D21337">
        <w:rPr>
          <w:rFonts w:hint="eastAsia"/>
          <w:color w:val="FF0000"/>
          <w:sz w:val="24"/>
          <w:szCs w:val="24"/>
          <w:u w:val="single"/>
        </w:rPr>
        <w:t>3</w:t>
      </w:r>
      <w:r w:rsidRPr="00614658">
        <w:rPr>
          <w:rFonts w:hint="eastAsia"/>
          <w:color w:val="FF0000"/>
          <w:sz w:val="24"/>
          <w:szCs w:val="24"/>
          <w:u w:val="single"/>
        </w:rPr>
        <w:t>00</w:t>
      </w:r>
      <w:r w:rsidRPr="00614658">
        <w:rPr>
          <w:rFonts w:hint="eastAsia"/>
          <w:color w:val="FF0000"/>
          <w:sz w:val="24"/>
          <w:szCs w:val="24"/>
          <w:u w:val="single"/>
        </w:rPr>
        <w:t>万</w:t>
      </w:r>
      <w:r w:rsidRPr="00614658">
        <w:rPr>
          <w:rFonts w:hint="eastAsia"/>
          <w:sz w:val="24"/>
          <w:szCs w:val="24"/>
        </w:rPr>
        <w:t>元人民币。</w:t>
      </w:r>
    </w:p>
    <w:p w:rsidR="006054A6" w:rsidRPr="00614658" w:rsidRDefault="006054A6" w:rsidP="006054A6">
      <w:pPr>
        <w:pStyle w:val="a3"/>
        <w:numPr>
          <w:ilvl w:val="0"/>
          <w:numId w:val="11"/>
        </w:numPr>
        <w:ind w:firstLineChars="0"/>
        <w:rPr>
          <w:sz w:val="24"/>
          <w:szCs w:val="24"/>
        </w:rPr>
      </w:pPr>
      <w:r w:rsidRPr="00614658">
        <w:rPr>
          <w:rFonts w:hint="eastAsia"/>
          <w:sz w:val="24"/>
          <w:szCs w:val="24"/>
        </w:rPr>
        <w:t>本次募集资金主要用于</w:t>
      </w:r>
      <w:r w:rsidR="00031E3F" w:rsidRPr="00614658">
        <w:rPr>
          <w:rFonts w:hint="eastAsia"/>
          <w:sz w:val="24"/>
          <w:szCs w:val="24"/>
        </w:rPr>
        <w:t>增加新产品系列</w:t>
      </w:r>
      <w:r w:rsidRPr="00614658">
        <w:rPr>
          <w:rFonts w:hint="eastAsia"/>
          <w:sz w:val="24"/>
          <w:szCs w:val="24"/>
        </w:rPr>
        <w:t>、</w:t>
      </w:r>
      <w:r w:rsidR="00031E3F" w:rsidRPr="00614658">
        <w:rPr>
          <w:rFonts w:hint="eastAsia"/>
          <w:sz w:val="24"/>
          <w:szCs w:val="24"/>
        </w:rPr>
        <w:t>增加</w:t>
      </w:r>
      <w:r w:rsidRPr="00614658">
        <w:rPr>
          <w:rFonts w:hint="eastAsia"/>
          <w:sz w:val="24"/>
          <w:szCs w:val="24"/>
        </w:rPr>
        <w:t>业务投资力度、减少资产负债率、</w:t>
      </w:r>
      <w:r w:rsidR="00031E3F" w:rsidRPr="00614658">
        <w:rPr>
          <w:rFonts w:hint="eastAsia"/>
          <w:sz w:val="24"/>
          <w:szCs w:val="24"/>
        </w:rPr>
        <w:t>固定资产建设、</w:t>
      </w:r>
      <w:r w:rsidRPr="00614658">
        <w:rPr>
          <w:rFonts w:hint="eastAsia"/>
          <w:sz w:val="24"/>
          <w:szCs w:val="24"/>
        </w:rPr>
        <w:t>增加储备金。</w:t>
      </w:r>
    </w:p>
    <w:p w:rsidR="006054A6" w:rsidRPr="003F3127" w:rsidRDefault="006054A6" w:rsidP="003F3127">
      <w:pPr>
        <w:pStyle w:val="a4"/>
        <w:rPr>
          <w:rStyle w:val="a7"/>
          <w:b/>
          <w:bCs/>
          <w:sz w:val="28"/>
          <w:szCs w:val="28"/>
        </w:rPr>
      </w:pPr>
      <w:r w:rsidRPr="003F3127">
        <w:rPr>
          <w:rStyle w:val="a7"/>
          <w:rFonts w:hint="eastAsia"/>
          <w:b/>
          <w:sz w:val="28"/>
          <w:szCs w:val="28"/>
        </w:rPr>
        <w:t>发债方案</w:t>
      </w:r>
    </w:p>
    <w:p w:rsidR="006054A6" w:rsidRPr="00614658" w:rsidRDefault="006054A6" w:rsidP="006054A6">
      <w:pPr>
        <w:pStyle w:val="a3"/>
        <w:numPr>
          <w:ilvl w:val="0"/>
          <w:numId w:val="12"/>
        </w:numPr>
        <w:ind w:firstLineChars="0"/>
        <w:rPr>
          <w:sz w:val="24"/>
          <w:szCs w:val="24"/>
        </w:rPr>
      </w:pPr>
      <w:r w:rsidRPr="00614658">
        <w:rPr>
          <w:rFonts w:hint="eastAsia"/>
          <w:sz w:val="24"/>
          <w:szCs w:val="24"/>
        </w:rPr>
        <w:t>借款期限</w:t>
      </w:r>
      <w:r w:rsidRPr="00614658">
        <w:rPr>
          <w:rFonts w:hint="eastAsia"/>
          <w:color w:val="FF0000"/>
          <w:sz w:val="24"/>
          <w:szCs w:val="24"/>
          <w:u w:val="single"/>
        </w:rPr>
        <w:t>1</w:t>
      </w:r>
      <w:r w:rsidRPr="00614658">
        <w:rPr>
          <w:rFonts w:hint="eastAsia"/>
          <w:color w:val="FF0000"/>
          <w:sz w:val="24"/>
          <w:szCs w:val="24"/>
          <w:u w:val="single"/>
        </w:rPr>
        <w:t>年</w:t>
      </w:r>
      <w:r w:rsidR="004B7CC5" w:rsidRPr="00614658">
        <w:rPr>
          <w:rFonts w:hint="eastAsia"/>
          <w:color w:val="FF0000"/>
          <w:sz w:val="24"/>
          <w:szCs w:val="24"/>
          <w:u w:val="single"/>
        </w:rPr>
        <w:t>~3</w:t>
      </w:r>
      <w:r w:rsidR="004B7CC5" w:rsidRPr="00614658">
        <w:rPr>
          <w:rFonts w:hint="eastAsia"/>
          <w:color w:val="FF0000"/>
          <w:sz w:val="24"/>
          <w:szCs w:val="24"/>
          <w:u w:val="single"/>
        </w:rPr>
        <w:t>年</w:t>
      </w:r>
      <w:r w:rsidRPr="00614658">
        <w:rPr>
          <w:rFonts w:hint="eastAsia"/>
          <w:sz w:val="24"/>
          <w:szCs w:val="24"/>
        </w:rPr>
        <w:t>。</w:t>
      </w:r>
    </w:p>
    <w:p w:rsidR="006054A6" w:rsidRPr="00614658" w:rsidRDefault="006054A6" w:rsidP="006054A6">
      <w:pPr>
        <w:pStyle w:val="a3"/>
        <w:numPr>
          <w:ilvl w:val="0"/>
          <w:numId w:val="12"/>
        </w:numPr>
        <w:ind w:firstLineChars="0"/>
        <w:rPr>
          <w:sz w:val="24"/>
          <w:szCs w:val="24"/>
        </w:rPr>
      </w:pPr>
      <w:r w:rsidRPr="00614658">
        <w:rPr>
          <w:rFonts w:hint="eastAsia"/>
          <w:sz w:val="24"/>
          <w:szCs w:val="24"/>
        </w:rPr>
        <w:t>借款利息年息</w:t>
      </w:r>
      <w:r w:rsidRPr="00614658">
        <w:rPr>
          <w:rFonts w:hint="eastAsia"/>
          <w:color w:val="FF0000"/>
          <w:sz w:val="24"/>
          <w:szCs w:val="24"/>
          <w:u w:val="single"/>
        </w:rPr>
        <w:t>12%</w:t>
      </w:r>
      <w:r w:rsidRPr="00614658">
        <w:rPr>
          <w:rFonts w:hint="eastAsia"/>
          <w:sz w:val="24"/>
          <w:szCs w:val="24"/>
        </w:rPr>
        <w:t>。</w:t>
      </w:r>
    </w:p>
    <w:p w:rsidR="006054A6" w:rsidRPr="00614658" w:rsidRDefault="006054A6" w:rsidP="006054A6">
      <w:pPr>
        <w:pStyle w:val="a3"/>
        <w:numPr>
          <w:ilvl w:val="0"/>
          <w:numId w:val="12"/>
        </w:numPr>
        <w:ind w:firstLineChars="0"/>
        <w:rPr>
          <w:sz w:val="24"/>
          <w:szCs w:val="24"/>
        </w:rPr>
      </w:pPr>
      <w:r w:rsidRPr="00614658">
        <w:rPr>
          <w:rFonts w:hint="eastAsia"/>
          <w:sz w:val="24"/>
          <w:szCs w:val="24"/>
        </w:rPr>
        <w:t>还款日到期后一个月内本息一并结清（可以续期）。</w:t>
      </w:r>
    </w:p>
    <w:p w:rsidR="006054A6" w:rsidRPr="00614658" w:rsidRDefault="006054A6" w:rsidP="006054A6">
      <w:pPr>
        <w:pStyle w:val="a3"/>
        <w:numPr>
          <w:ilvl w:val="0"/>
          <w:numId w:val="12"/>
        </w:numPr>
        <w:ind w:firstLineChars="0"/>
        <w:rPr>
          <w:sz w:val="24"/>
          <w:szCs w:val="24"/>
        </w:rPr>
      </w:pPr>
      <w:r w:rsidRPr="00614658">
        <w:rPr>
          <w:rFonts w:hint="eastAsia"/>
          <w:sz w:val="24"/>
          <w:szCs w:val="24"/>
        </w:rPr>
        <w:t>以</w:t>
      </w:r>
      <w:r w:rsidRPr="00614658">
        <w:rPr>
          <w:rFonts w:hint="eastAsia"/>
          <w:color w:val="FF0000"/>
          <w:sz w:val="24"/>
          <w:szCs w:val="24"/>
          <w:u w:val="single"/>
        </w:rPr>
        <w:t>10000</w:t>
      </w:r>
      <w:r w:rsidRPr="00614658">
        <w:rPr>
          <w:rFonts w:hint="eastAsia"/>
          <w:color w:val="FF0000"/>
          <w:sz w:val="24"/>
          <w:szCs w:val="24"/>
          <w:u w:val="single"/>
        </w:rPr>
        <w:t>元</w:t>
      </w:r>
      <w:r w:rsidRPr="00614658">
        <w:rPr>
          <w:rFonts w:hint="eastAsia"/>
          <w:sz w:val="24"/>
          <w:szCs w:val="24"/>
        </w:rPr>
        <w:t>人民币为一借款单位。</w:t>
      </w:r>
    </w:p>
    <w:p w:rsidR="006054A6" w:rsidRPr="00614658" w:rsidRDefault="006054A6" w:rsidP="006054A6">
      <w:pPr>
        <w:pStyle w:val="a3"/>
        <w:numPr>
          <w:ilvl w:val="0"/>
          <w:numId w:val="12"/>
        </w:numPr>
        <w:ind w:firstLineChars="0"/>
        <w:rPr>
          <w:sz w:val="24"/>
          <w:szCs w:val="24"/>
        </w:rPr>
      </w:pPr>
      <w:r w:rsidRPr="00614658">
        <w:rPr>
          <w:rFonts w:hint="eastAsia"/>
          <w:sz w:val="24"/>
          <w:szCs w:val="24"/>
        </w:rPr>
        <w:t>本次借贷总额不超过</w:t>
      </w:r>
      <w:r w:rsidR="00031E3F" w:rsidRPr="00614658">
        <w:rPr>
          <w:rFonts w:hint="eastAsia"/>
          <w:color w:val="FF0000"/>
          <w:sz w:val="24"/>
          <w:szCs w:val="24"/>
          <w:u w:val="single"/>
        </w:rPr>
        <w:t>20</w:t>
      </w:r>
      <w:r w:rsidRPr="00614658">
        <w:rPr>
          <w:rFonts w:hint="eastAsia"/>
          <w:color w:val="FF0000"/>
          <w:sz w:val="24"/>
          <w:szCs w:val="24"/>
          <w:u w:val="single"/>
        </w:rPr>
        <w:t>0</w:t>
      </w:r>
      <w:r w:rsidRPr="00614658">
        <w:rPr>
          <w:rFonts w:hint="eastAsia"/>
          <w:color w:val="FF0000"/>
          <w:sz w:val="24"/>
          <w:szCs w:val="24"/>
          <w:u w:val="single"/>
        </w:rPr>
        <w:t>万</w:t>
      </w:r>
      <w:r w:rsidRPr="00614658">
        <w:rPr>
          <w:rFonts w:hint="eastAsia"/>
          <w:sz w:val="24"/>
          <w:szCs w:val="24"/>
        </w:rPr>
        <w:t>元人民币。</w:t>
      </w:r>
    </w:p>
    <w:p w:rsidR="00D85F86" w:rsidRPr="00031E3F" w:rsidRDefault="00D85F86">
      <w:pPr>
        <w:widowControl/>
        <w:jc w:val="left"/>
        <w:rPr>
          <w:sz w:val="28"/>
          <w:szCs w:val="28"/>
        </w:rPr>
      </w:pPr>
      <w:r w:rsidRPr="00031E3F">
        <w:rPr>
          <w:sz w:val="28"/>
          <w:szCs w:val="28"/>
        </w:rPr>
        <w:br w:type="page"/>
      </w:r>
    </w:p>
    <w:p w:rsidR="009A3AC6" w:rsidRDefault="00BB54F6" w:rsidP="00BB54F6">
      <w:pPr>
        <w:pStyle w:val="a4"/>
      </w:pPr>
      <w:r>
        <w:rPr>
          <w:rFonts w:hint="eastAsia"/>
        </w:rPr>
        <w:lastRenderedPageBreak/>
        <w:t>未来公司</w:t>
      </w:r>
      <w:r w:rsidR="00031E3F">
        <w:rPr>
          <w:rFonts w:hint="eastAsia"/>
        </w:rPr>
        <w:t>2019</w:t>
      </w:r>
      <w:r>
        <w:rPr>
          <w:rFonts w:hint="eastAsia"/>
        </w:rPr>
        <w:t>年度招股募资附表</w:t>
      </w:r>
    </w:p>
    <w:p w:rsidR="00BB54F6" w:rsidRDefault="00BB54F6" w:rsidP="009A3AC6">
      <w:pPr>
        <w:rPr>
          <w:sz w:val="24"/>
          <w:szCs w:val="24"/>
        </w:rPr>
      </w:pPr>
    </w:p>
    <w:p w:rsidR="009A3AC6" w:rsidRPr="009A3AC6" w:rsidRDefault="009A3AC6" w:rsidP="009A3AC6">
      <w:pPr>
        <w:rPr>
          <w:rStyle w:val="a7"/>
        </w:rPr>
      </w:pPr>
      <w:r w:rsidRPr="009A3AC6">
        <w:rPr>
          <w:rStyle w:val="a7"/>
          <w:rFonts w:hint="eastAsia"/>
        </w:rPr>
        <w:t>附表一</w:t>
      </w:r>
      <w:r w:rsidRPr="009A3AC6">
        <w:rPr>
          <w:rStyle w:val="a7"/>
          <w:rFonts w:hint="eastAsia"/>
        </w:rPr>
        <w:t xml:space="preserve">  </w:t>
      </w:r>
      <w:r w:rsidRPr="009A3AC6">
        <w:rPr>
          <w:rStyle w:val="a7"/>
          <w:rFonts w:hint="eastAsia"/>
        </w:rPr>
        <w:t>经销商货值入股</w:t>
      </w:r>
    </w:p>
    <w:tbl>
      <w:tblPr>
        <w:tblStyle w:val="1-2"/>
        <w:tblW w:w="0" w:type="auto"/>
        <w:tblLook w:val="04A0"/>
      </w:tblPr>
      <w:tblGrid>
        <w:gridCol w:w="959"/>
        <w:gridCol w:w="850"/>
        <w:gridCol w:w="1418"/>
        <w:gridCol w:w="1701"/>
        <w:gridCol w:w="2410"/>
        <w:gridCol w:w="1184"/>
      </w:tblGrid>
      <w:tr w:rsidR="00657E25" w:rsidTr="00F81416">
        <w:trPr>
          <w:cnfStyle w:val="100000000000"/>
        </w:trPr>
        <w:tc>
          <w:tcPr>
            <w:cnfStyle w:val="001000000000"/>
            <w:tcW w:w="4928" w:type="dxa"/>
            <w:gridSpan w:val="4"/>
          </w:tcPr>
          <w:p w:rsidR="00657E25" w:rsidRDefault="00657E25" w:rsidP="009A3AC6">
            <w:pPr>
              <w:jc w:val="center"/>
              <w:rPr>
                <w:rStyle w:val="a7"/>
              </w:rPr>
            </w:pPr>
            <w:r>
              <w:rPr>
                <w:rStyle w:val="a7"/>
                <w:rFonts w:hint="eastAsia"/>
              </w:rPr>
              <w:t>入股方案</w:t>
            </w:r>
          </w:p>
        </w:tc>
        <w:tc>
          <w:tcPr>
            <w:tcW w:w="2410" w:type="dxa"/>
          </w:tcPr>
          <w:p w:rsidR="00657E25" w:rsidRDefault="00657E25" w:rsidP="009A3AC6">
            <w:pPr>
              <w:jc w:val="center"/>
              <w:cnfStyle w:val="100000000000"/>
              <w:rPr>
                <w:rStyle w:val="a7"/>
              </w:rPr>
            </w:pPr>
            <w:r>
              <w:rPr>
                <w:rStyle w:val="a7"/>
                <w:rFonts w:hint="eastAsia"/>
              </w:rPr>
              <w:t>约束条款</w:t>
            </w:r>
          </w:p>
        </w:tc>
        <w:tc>
          <w:tcPr>
            <w:tcW w:w="1184" w:type="dxa"/>
          </w:tcPr>
          <w:p w:rsidR="00657E25" w:rsidRDefault="00657E25" w:rsidP="009A3AC6">
            <w:pPr>
              <w:jc w:val="center"/>
              <w:cnfStyle w:val="100000000000"/>
              <w:rPr>
                <w:rStyle w:val="a7"/>
              </w:rPr>
            </w:pPr>
            <w:r>
              <w:rPr>
                <w:rStyle w:val="a7"/>
                <w:rFonts w:hint="eastAsia"/>
              </w:rPr>
              <w:t>分红方案</w:t>
            </w:r>
          </w:p>
        </w:tc>
      </w:tr>
      <w:tr w:rsidR="00657E25" w:rsidTr="00F81416">
        <w:trPr>
          <w:cnfStyle w:val="000000100000"/>
        </w:trPr>
        <w:tc>
          <w:tcPr>
            <w:cnfStyle w:val="001000000000"/>
            <w:tcW w:w="959" w:type="dxa"/>
          </w:tcPr>
          <w:p w:rsidR="00657E25" w:rsidRDefault="00657E25" w:rsidP="009A3AC6">
            <w:pPr>
              <w:jc w:val="center"/>
              <w:rPr>
                <w:rStyle w:val="a7"/>
              </w:rPr>
            </w:pPr>
            <w:r>
              <w:rPr>
                <w:rStyle w:val="a7"/>
                <w:rFonts w:hint="eastAsia"/>
              </w:rPr>
              <w:t>起始入股金额</w:t>
            </w:r>
            <w:r>
              <w:rPr>
                <w:rStyle w:val="a7"/>
                <w:rFonts w:hint="eastAsia"/>
              </w:rPr>
              <w:t>/</w:t>
            </w:r>
            <w:r>
              <w:rPr>
                <w:rStyle w:val="a7"/>
                <w:rFonts w:hint="eastAsia"/>
              </w:rPr>
              <w:t>元</w:t>
            </w:r>
          </w:p>
        </w:tc>
        <w:tc>
          <w:tcPr>
            <w:tcW w:w="850" w:type="dxa"/>
          </w:tcPr>
          <w:p w:rsidR="00657E25" w:rsidRDefault="00657E25" w:rsidP="009A3AC6">
            <w:pPr>
              <w:jc w:val="center"/>
              <w:cnfStyle w:val="000000100000"/>
              <w:rPr>
                <w:rStyle w:val="a7"/>
              </w:rPr>
            </w:pPr>
            <w:r>
              <w:rPr>
                <w:rStyle w:val="a7"/>
                <w:rFonts w:hint="eastAsia"/>
              </w:rPr>
              <w:t>每股认购价</w:t>
            </w:r>
            <w:r>
              <w:rPr>
                <w:rStyle w:val="a7"/>
                <w:rFonts w:hint="eastAsia"/>
              </w:rPr>
              <w:t>/</w:t>
            </w:r>
            <w:r>
              <w:rPr>
                <w:rStyle w:val="a7"/>
                <w:rFonts w:hint="eastAsia"/>
              </w:rPr>
              <w:t>元</w:t>
            </w:r>
          </w:p>
        </w:tc>
        <w:tc>
          <w:tcPr>
            <w:tcW w:w="1418" w:type="dxa"/>
          </w:tcPr>
          <w:p w:rsidR="00657E25" w:rsidRDefault="00657E25" w:rsidP="009A3AC6">
            <w:pPr>
              <w:jc w:val="center"/>
              <w:cnfStyle w:val="000000100000"/>
              <w:rPr>
                <w:rStyle w:val="a7"/>
              </w:rPr>
            </w:pPr>
            <w:r>
              <w:rPr>
                <w:rStyle w:val="a7"/>
                <w:rFonts w:hint="eastAsia"/>
              </w:rPr>
              <w:t>公司铺货额度</w:t>
            </w:r>
            <w:r>
              <w:rPr>
                <w:rStyle w:val="a7"/>
                <w:rFonts w:hint="eastAsia"/>
              </w:rPr>
              <w:t>/</w:t>
            </w:r>
            <w:r>
              <w:rPr>
                <w:rStyle w:val="a7"/>
                <w:rFonts w:hint="eastAsia"/>
              </w:rPr>
              <w:t>与入股金额占比</w:t>
            </w:r>
            <w:r>
              <w:rPr>
                <w:rStyle w:val="a7"/>
                <w:rFonts w:hint="eastAsia"/>
              </w:rPr>
              <w:t>%</w:t>
            </w:r>
          </w:p>
        </w:tc>
        <w:tc>
          <w:tcPr>
            <w:tcW w:w="1701" w:type="dxa"/>
          </w:tcPr>
          <w:p w:rsidR="00657E25" w:rsidRDefault="00657E25" w:rsidP="009A3AC6">
            <w:pPr>
              <w:jc w:val="center"/>
              <w:cnfStyle w:val="000000100000"/>
              <w:rPr>
                <w:rStyle w:val="a7"/>
              </w:rPr>
            </w:pPr>
            <w:r>
              <w:rPr>
                <w:rStyle w:val="a7"/>
                <w:rFonts w:hint="eastAsia"/>
              </w:rPr>
              <w:t>铺货时限</w:t>
            </w:r>
            <w:r>
              <w:rPr>
                <w:rStyle w:val="a7"/>
                <w:rFonts w:hint="eastAsia"/>
              </w:rPr>
              <w:t>/</w:t>
            </w:r>
            <w:r>
              <w:rPr>
                <w:rStyle w:val="a7"/>
                <w:rFonts w:hint="eastAsia"/>
              </w:rPr>
              <w:t>年</w:t>
            </w:r>
          </w:p>
        </w:tc>
        <w:tc>
          <w:tcPr>
            <w:tcW w:w="2410" w:type="dxa"/>
          </w:tcPr>
          <w:p w:rsidR="009F331F" w:rsidRDefault="009F331F" w:rsidP="009F331F">
            <w:pPr>
              <w:jc w:val="center"/>
              <w:cnfStyle w:val="000000100000"/>
              <w:rPr>
                <w:rStyle w:val="a7"/>
              </w:rPr>
            </w:pPr>
            <w:r>
              <w:rPr>
                <w:rStyle w:val="a7"/>
                <w:rFonts w:hint="eastAsia"/>
              </w:rPr>
              <w:t>三年不撤股、不抽资（如撤股可转让他人）</w:t>
            </w:r>
          </w:p>
          <w:p w:rsidR="009F331F" w:rsidRDefault="00657E25" w:rsidP="009F331F">
            <w:pPr>
              <w:jc w:val="center"/>
              <w:cnfStyle w:val="000000100000"/>
              <w:rPr>
                <w:rStyle w:val="a7"/>
              </w:rPr>
            </w:pPr>
            <w:r>
              <w:rPr>
                <w:rStyle w:val="a7"/>
                <w:rFonts w:hint="eastAsia"/>
              </w:rPr>
              <w:t>销售额不低于万元</w:t>
            </w:r>
            <w:r>
              <w:rPr>
                <w:rStyle w:val="a7"/>
                <w:rFonts w:hint="eastAsia"/>
              </w:rPr>
              <w:t>/</w:t>
            </w:r>
            <w:r>
              <w:rPr>
                <w:rStyle w:val="a7"/>
                <w:rFonts w:hint="eastAsia"/>
              </w:rPr>
              <w:t>年</w:t>
            </w:r>
          </w:p>
        </w:tc>
        <w:tc>
          <w:tcPr>
            <w:tcW w:w="1184" w:type="dxa"/>
          </w:tcPr>
          <w:p w:rsidR="00657E25" w:rsidRDefault="00657E25" w:rsidP="009A3AC6">
            <w:pPr>
              <w:jc w:val="center"/>
              <w:cnfStyle w:val="000000100000"/>
              <w:rPr>
                <w:rStyle w:val="a7"/>
              </w:rPr>
            </w:pPr>
            <w:r>
              <w:rPr>
                <w:rStyle w:val="a7"/>
                <w:rFonts w:hint="eastAsia"/>
              </w:rPr>
              <w:t>按公司每年实际经营状况</w:t>
            </w:r>
          </w:p>
        </w:tc>
      </w:tr>
      <w:tr w:rsidR="00657E25" w:rsidTr="00F81416">
        <w:tc>
          <w:tcPr>
            <w:cnfStyle w:val="001000000000"/>
            <w:tcW w:w="959" w:type="dxa"/>
          </w:tcPr>
          <w:p w:rsidR="00657E25" w:rsidRDefault="00031E3F" w:rsidP="009A3AC6">
            <w:pPr>
              <w:jc w:val="center"/>
              <w:rPr>
                <w:rStyle w:val="a7"/>
              </w:rPr>
            </w:pPr>
            <w:r>
              <w:rPr>
                <w:rStyle w:val="a7"/>
                <w:rFonts w:hint="eastAsia"/>
              </w:rPr>
              <w:t>40</w:t>
            </w:r>
            <w:r w:rsidR="00657E25">
              <w:rPr>
                <w:rStyle w:val="a7"/>
                <w:rFonts w:hint="eastAsia"/>
              </w:rPr>
              <w:t>000</w:t>
            </w:r>
            <w:r w:rsidR="00657E25">
              <w:rPr>
                <w:rStyle w:val="a7"/>
                <w:rFonts w:hint="eastAsia"/>
              </w:rPr>
              <w:t>元</w:t>
            </w:r>
          </w:p>
        </w:tc>
        <w:tc>
          <w:tcPr>
            <w:tcW w:w="850" w:type="dxa"/>
          </w:tcPr>
          <w:p w:rsidR="00657E25" w:rsidRDefault="00031E3F" w:rsidP="009A3AC6">
            <w:pPr>
              <w:jc w:val="center"/>
              <w:cnfStyle w:val="000000000000"/>
              <w:rPr>
                <w:rStyle w:val="a7"/>
              </w:rPr>
            </w:pPr>
            <w:r>
              <w:rPr>
                <w:rStyle w:val="a7"/>
                <w:rFonts w:hint="eastAsia"/>
              </w:rPr>
              <w:t>2.0</w:t>
            </w:r>
            <w:r w:rsidR="00657E25">
              <w:rPr>
                <w:rStyle w:val="a7"/>
                <w:rFonts w:hint="eastAsia"/>
              </w:rPr>
              <w:t>元</w:t>
            </w:r>
          </w:p>
        </w:tc>
        <w:tc>
          <w:tcPr>
            <w:tcW w:w="1418" w:type="dxa"/>
          </w:tcPr>
          <w:p w:rsidR="00657E25" w:rsidRDefault="00F81416" w:rsidP="009A3AC6">
            <w:pPr>
              <w:jc w:val="center"/>
              <w:cnfStyle w:val="000000000000"/>
              <w:rPr>
                <w:rStyle w:val="a7"/>
              </w:rPr>
            </w:pPr>
            <w:r>
              <w:rPr>
                <w:rStyle w:val="a7"/>
                <w:rFonts w:hint="eastAsia"/>
              </w:rPr>
              <w:t>100%</w:t>
            </w:r>
            <w:r w:rsidRPr="008806F7">
              <w:rPr>
                <w:rStyle w:val="a7"/>
              </w:rPr>
              <w:t xml:space="preserve"> </w:t>
            </w:r>
            <w:r>
              <w:rPr>
                <w:rStyle w:val="a7"/>
                <w:rFonts w:hint="eastAsia"/>
              </w:rPr>
              <w:t>/</w:t>
            </w:r>
            <w:r w:rsidRPr="008806F7">
              <w:rPr>
                <w:rStyle w:val="a7"/>
                <w:rFonts w:hint="eastAsia"/>
              </w:rPr>
              <w:t>铺货上限</w:t>
            </w:r>
            <w:r w:rsidRPr="008806F7">
              <w:rPr>
                <w:rStyle w:val="a7"/>
                <w:rFonts w:hint="eastAsia"/>
              </w:rPr>
              <w:t>20</w:t>
            </w:r>
            <w:r w:rsidRPr="008806F7">
              <w:rPr>
                <w:rStyle w:val="a7"/>
                <w:rFonts w:hint="eastAsia"/>
              </w:rPr>
              <w:t>万元</w:t>
            </w:r>
          </w:p>
        </w:tc>
        <w:tc>
          <w:tcPr>
            <w:tcW w:w="1701" w:type="dxa"/>
          </w:tcPr>
          <w:p w:rsidR="00E33706" w:rsidRDefault="00F81416" w:rsidP="00823E4C">
            <w:pPr>
              <w:jc w:val="center"/>
              <w:cnfStyle w:val="000000000000"/>
              <w:rPr>
                <w:rStyle w:val="a7"/>
              </w:rPr>
            </w:pPr>
            <w:r w:rsidRPr="008806F7">
              <w:rPr>
                <w:rStyle w:val="a7"/>
                <w:rFonts w:hint="eastAsia"/>
              </w:rPr>
              <w:t>3</w:t>
            </w:r>
            <w:r w:rsidRPr="008806F7">
              <w:rPr>
                <w:rStyle w:val="a7"/>
                <w:rFonts w:hint="eastAsia"/>
              </w:rPr>
              <w:t>年</w:t>
            </w:r>
            <w:r w:rsidRPr="008806F7">
              <w:rPr>
                <w:rStyle w:val="a7"/>
                <w:rFonts w:hint="eastAsia"/>
              </w:rPr>
              <w:t>/</w:t>
            </w:r>
            <w:r>
              <w:rPr>
                <w:rStyle w:val="a7"/>
                <w:rFonts w:hint="eastAsia"/>
              </w:rPr>
              <w:t>按年审核协议履行情况</w:t>
            </w:r>
            <w:r w:rsidRPr="008806F7">
              <w:rPr>
                <w:rStyle w:val="a7"/>
                <w:rFonts w:hint="eastAsia"/>
              </w:rPr>
              <w:t>，未完成合同可终止合作</w:t>
            </w:r>
          </w:p>
        </w:tc>
        <w:tc>
          <w:tcPr>
            <w:tcW w:w="2410" w:type="dxa"/>
          </w:tcPr>
          <w:p w:rsidR="00657E25" w:rsidRDefault="00E33706" w:rsidP="00031E3F">
            <w:pPr>
              <w:jc w:val="center"/>
              <w:cnfStyle w:val="000000000000"/>
              <w:rPr>
                <w:rStyle w:val="a7"/>
              </w:rPr>
            </w:pPr>
            <w:r>
              <w:rPr>
                <w:rStyle w:val="a7"/>
                <w:rFonts w:hint="eastAsia"/>
              </w:rPr>
              <w:t>销售总额超过入股资金</w:t>
            </w:r>
            <w:r w:rsidR="00073ACC">
              <w:rPr>
                <w:rStyle w:val="a7"/>
                <w:rFonts w:hint="eastAsia"/>
              </w:rPr>
              <w:t>15</w:t>
            </w:r>
            <w:r>
              <w:rPr>
                <w:rStyle w:val="a7"/>
                <w:rFonts w:hint="eastAsia"/>
              </w:rPr>
              <w:t>倍</w:t>
            </w:r>
            <w:r w:rsidR="00823E4C">
              <w:rPr>
                <w:rStyle w:val="a7"/>
                <w:rFonts w:hint="eastAsia"/>
              </w:rPr>
              <w:t>永久保留股份</w:t>
            </w:r>
          </w:p>
        </w:tc>
        <w:tc>
          <w:tcPr>
            <w:tcW w:w="1184" w:type="dxa"/>
          </w:tcPr>
          <w:p w:rsidR="00657E25" w:rsidRDefault="00F81416" w:rsidP="009A3AC6">
            <w:pPr>
              <w:jc w:val="center"/>
              <w:cnfStyle w:val="000000000000"/>
              <w:rPr>
                <w:rStyle w:val="a7"/>
              </w:rPr>
            </w:pPr>
            <w:r>
              <w:rPr>
                <w:rStyle w:val="a7"/>
                <w:rFonts w:hint="eastAsia"/>
              </w:rPr>
              <w:t>需签合同</w:t>
            </w:r>
          </w:p>
        </w:tc>
      </w:tr>
    </w:tbl>
    <w:p w:rsidR="009A3AC6" w:rsidRPr="009A3AC6" w:rsidRDefault="009A3AC6" w:rsidP="009A3AC6">
      <w:pPr>
        <w:rPr>
          <w:rStyle w:val="a7"/>
        </w:rPr>
      </w:pPr>
    </w:p>
    <w:p w:rsidR="00A7551C" w:rsidRPr="009A3AC6" w:rsidRDefault="009A3AC6" w:rsidP="009A3AC6">
      <w:pPr>
        <w:rPr>
          <w:rStyle w:val="a7"/>
        </w:rPr>
      </w:pPr>
      <w:r w:rsidRPr="009A3AC6">
        <w:rPr>
          <w:rStyle w:val="a7"/>
          <w:rFonts w:hint="eastAsia"/>
        </w:rPr>
        <w:t>附表二</w:t>
      </w:r>
      <w:r w:rsidRPr="009A3AC6">
        <w:rPr>
          <w:rStyle w:val="a7"/>
          <w:rFonts w:hint="eastAsia"/>
        </w:rPr>
        <w:t xml:space="preserve">  </w:t>
      </w:r>
      <w:r w:rsidRPr="009A3AC6">
        <w:rPr>
          <w:rStyle w:val="a7"/>
          <w:rFonts w:hint="eastAsia"/>
        </w:rPr>
        <w:t>锁定收益入股</w:t>
      </w:r>
    </w:p>
    <w:tbl>
      <w:tblPr>
        <w:tblStyle w:val="1-2"/>
        <w:tblW w:w="0" w:type="auto"/>
        <w:tblLook w:val="04A0"/>
      </w:tblPr>
      <w:tblGrid>
        <w:gridCol w:w="1101"/>
        <w:gridCol w:w="992"/>
        <w:gridCol w:w="1134"/>
        <w:gridCol w:w="1134"/>
        <w:gridCol w:w="2551"/>
        <w:gridCol w:w="1610"/>
      </w:tblGrid>
      <w:tr w:rsidR="00657E25" w:rsidTr="00657E25">
        <w:trPr>
          <w:cnfStyle w:val="100000000000"/>
        </w:trPr>
        <w:tc>
          <w:tcPr>
            <w:cnfStyle w:val="001000000000"/>
            <w:tcW w:w="4361" w:type="dxa"/>
            <w:gridSpan w:val="4"/>
          </w:tcPr>
          <w:p w:rsidR="00657E25" w:rsidRDefault="00657E25" w:rsidP="008E5655">
            <w:pPr>
              <w:jc w:val="center"/>
              <w:rPr>
                <w:rStyle w:val="a7"/>
              </w:rPr>
            </w:pPr>
            <w:r>
              <w:rPr>
                <w:rStyle w:val="a7"/>
                <w:rFonts w:hint="eastAsia"/>
              </w:rPr>
              <w:t>入股方案</w:t>
            </w:r>
          </w:p>
        </w:tc>
        <w:tc>
          <w:tcPr>
            <w:tcW w:w="2551" w:type="dxa"/>
          </w:tcPr>
          <w:p w:rsidR="00657E25" w:rsidRDefault="00657E25" w:rsidP="008E5655">
            <w:pPr>
              <w:jc w:val="center"/>
              <w:cnfStyle w:val="100000000000"/>
              <w:rPr>
                <w:rStyle w:val="a7"/>
              </w:rPr>
            </w:pPr>
            <w:r>
              <w:rPr>
                <w:rStyle w:val="a7"/>
                <w:rFonts w:hint="eastAsia"/>
              </w:rPr>
              <w:t>约束条款</w:t>
            </w:r>
          </w:p>
        </w:tc>
        <w:tc>
          <w:tcPr>
            <w:tcW w:w="1610" w:type="dxa"/>
          </w:tcPr>
          <w:p w:rsidR="00657E25" w:rsidRDefault="00657E25" w:rsidP="008E5655">
            <w:pPr>
              <w:jc w:val="center"/>
              <w:cnfStyle w:val="100000000000"/>
              <w:rPr>
                <w:rStyle w:val="a7"/>
              </w:rPr>
            </w:pPr>
            <w:r>
              <w:rPr>
                <w:rStyle w:val="a7"/>
                <w:rFonts w:hint="eastAsia"/>
              </w:rPr>
              <w:t>分红方案</w:t>
            </w:r>
          </w:p>
        </w:tc>
      </w:tr>
      <w:tr w:rsidR="00657E25" w:rsidTr="00657E25">
        <w:trPr>
          <w:cnfStyle w:val="000000100000"/>
        </w:trPr>
        <w:tc>
          <w:tcPr>
            <w:cnfStyle w:val="001000000000"/>
            <w:tcW w:w="1101" w:type="dxa"/>
          </w:tcPr>
          <w:p w:rsidR="00657E25" w:rsidRDefault="00657E25" w:rsidP="008E5655">
            <w:pPr>
              <w:jc w:val="center"/>
              <w:rPr>
                <w:rStyle w:val="a7"/>
              </w:rPr>
            </w:pPr>
            <w:r>
              <w:rPr>
                <w:rStyle w:val="a7"/>
                <w:rFonts w:hint="eastAsia"/>
              </w:rPr>
              <w:t>起始入股金额</w:t>
            </w:r>
            <w:r>
              <w:rPr>
                <w:rStyle w:val="a7"/>
                <w:rFonts w:hint="eastAsia"/>
              </w:rPr>
              <w:t>/</w:t>
            </w:r>
            <w:r>
              <w:rPr>
                <w:rStyle w:val="a7"/>
                <w:rFonts w:hint="eastAsia"/>
              </w:rPr>
              <w:t>元</w:t>
            </w:r>
          </w:p>
        </w:tc>
        <w:tc>
          <w:tcPr>
            <w:tcW w:w="992" w:type="dxa"/>
          </w:tcPr>
          <w:p w:rsidR="00657E25" w:rsidRDefault="00657E25" w:rsidP="008E5655">
            <w:pPr>
              <w:jc w:val="center"/>
              <w:cnfStyle w:val="000000100000"/>
              <w:rPr>
                <w:rStyle w:val="a7"/>
              </w:rPr>
            </w:pPr>
            <w:r>
              <w:rPr>
                <w:rStyle w:val="a7"/>
                <w:rFonts w:hint="eastAsia"/>
              </w:rPr>
              <w:t>每股认购价</w:t>
            </w:r>
            <w:r>
              <w:rPr>
                <w:rStyle w:val="a7"/>
                <w:rFonts w:hint="eastAsia"/>
              </w:rPr>
              <w:t>/</w:t>
            </w:r>
            <w:r>
              <w:rPr>
                <w:rStyle w:val="a7"/>
                <w:rFonts w:hint="eastAsia"/>
              </w:rPr>
              <w:t>元</w:t>
            </w:r>
          </w:p>
        </w:tc>
        <w:tc>
          <w:tcPr>
            <w:tcW w:w="1134" w:type="dxa"/>
          </w:tcPr>
          <w:p w:rsidR="00657E25" w:rsidRDefault="00657E25" w:rsidP="008E5655">
            <w:pPr>
              <w:jc w:val="center"/>
              <w:cnfStyle w:val="000000100000"/>
              <w:rPr>
                <w:rStyle w:val="a7"/>
              </w:rPr>
            </w:pPr>
            <w:r>
              <w:rPr>
                <w:rStyle w:val="a7"/>
                <w:rFonts w:hint="eastAsia"/>
              </w:rPr>
              <w:t>支付固定利息</w:t>
            </w:r>
            <w:r w:rsidR="00D85F86">
              <w:rPr>
                <w:rStyle w:val="a7"/>
                <w:rFonts w:hint="eastAsia"/>
              </w:rPr>
              <w:t>/</w:t>
            </w:r>
            <w:r>
              <w:rPr>
                <w:rStyle w:val="a7"/>
                <w:rFonts w:hint="eastAsia"/>
              </w:rPr>
              <w:t>年</w:t>
            </w:r>
            <w:r w:rsidR="00D85F86">
              <w:rPr>
                <w:rStyle w:val="a7"/>
                <w:rFonts w:hint="eastAsia"/>
              </w:rPr>
              <w:t>%</w:t>
            </w:r>
          </w:p>
        </w:tc>
        <w:tc>
          <w:tcPr>
            <w:tcW w:w="1134" w:type="dxa"/>
          </w:tcPr>
          <w:p w:rsidR="00657E25" w:rsidRDefault="00657E25" w:rsidP="008E5655">
            <w:pPr>
              <w:jc w:val="center"/>
              <w:cnfStyle w:val="000000100000"/>
              <w:rPr>
                <w:rStyle w:val="a7"/>
              </w:rPr>
            </w:pPr>
            <w:r>
              <w:rPr>
                <w:rStyle w:val="a7"/>
                <w:rFonts w:hint="eastAsia"/>
              </w:rPr>
              <w:t>连续支付时限</w:t>
            </w:r>
            <w:r>
              <w:rPr>
                <w:rStyle w:val="a7"/>
                <w:rFonts w:hint="eastAsia"/>
              </w:rPr>
              <w:t>/</w:t>
            </w:r>
            <w:r>
              <w:rPr>
                <w:rStyle w:val="a7"/>
                <w:rFonts w:hint="eastAsia"/>
              </w:rPr>
              <w:t>年</w:t>
            </w:r>
          </w:p>
        </w:tc>
        <w:tc>
          <w:tcPr>
            <w:tcW w:w="2551" w:type="dxa"/>
          </w:tcPr>
          <w:p w:rsidR="00657E25" w:rsidRDefault="00657E25" w:rsidP="008E5655">
            <w:pPr>
              <w:jc w:val="center"/>
              <w:cnfStyle w:val="000000100000"/>
              <w:rPr>
                <w:rStyle w:val="a7"/>
              </w:rPr>
            </w:pPr>
            <w:r>
              <w:rPr>
                <w:rStyle w:val="a7"/>
                <w:rFonts w:hint="eastAsia"/>
              </w:rPr>
              <w:t>投资人三年不撤股、不抽资（如撤股可转让他人）</w:t>
            </w:r>
          </w:p>
        </w:tc>
        <w:tc>
          <w:tcPr>
            <w:tcW w:w="1610" w:type="dxa"/>
          </w:tcPr>
          <w:p w:rsidR="00657E25" w:rsidRDefault="00657E25" w:rsidP="008E5655">
            <w:pPr>
              <w:jc w:val="center"/>
              <w:cnfStyle w:val="000000100000"/>
              <w:rPr>
                <w:rStyle w:val="a7"/>
              </w:rPr>
            </w:pPr>
            <w:r>
              <w:rPr>
                <w:rStyle w:val="a7"/>
                <w:rFonts w:hint="eastAsia"/>
              </w:rPr>
              <w:t>按公司每年实际经营状况</w:t>
            </w:r>
          </w:p>
        </w:tc>
      </w:tr>
      <w:tr w:rsidR="00657E25" w:rsidTr="00657E25">
        <w:tc>
          <w:tcPr>
            <w:cnfStyle w:val="001000000000"/>
            <w:tcW w:w="1101" w:type="dxa"/>
          </w:tcPr>
          <w:p w:rsidR="00657E25" w:rsidRDefault="00031E3F" w:rsidP="008E5655">
            <w:pPr>
              <w:jc w:val="center"/>
              <w:rPr>
                <w:rStyle w:val="a7"/>
              </w:rPr>
            </w:pPr>
            <w:r>
              <w:rPr>
                <w:rStyle w:val="a7"/>
                <w:rFonts w:hint="eastAsia"/>
              </w:rPr>
              <w:t>20</w:t>
            </w:r>
            <w:r w:rsidR="00657E25">
              <w:rPr>
                <w:rStyle w:val="a7"/>
                <w:rFonts w:hint="eastAsia"/>
              </w:rPr>
              <w:t>000</w:t>
            </w:r>
            <w:r w:rsidR="00657E25">
              <w:rPr>
                <w:rStyle w:val="a7"/>
                <w:rFonts w:hint="eastAsia"/>
              </w:rPr>
              <w:t>元</w:t>
            </w:r>
          </w:p>
        </w:tc>
        <w:tc>
          <w:tcPr>
            <w:tcW w:w="992" w:type="dxa"/>
          </w:tcPr>
          <w:p w:rsidR="00657E25" w:rsidRDefault="00031E3F" w:rsidP="008E5655">
            <w:pPr>
              <w:jc w:val="center"/>
              <w:cnfStyle w:val="000000000000"/>
              <w:rPr>
                <w:rStyle w:val="a7"/>
              </w:rPr>
            </w:pPr>
            <w:r>
              <w:rPr>
                <w:rStyle w:val="a7"/>
                <w:rFonts w:hint="eastAsia"/>
              </w:rPr>
              <w:t>2.0</w:t>
            </w:r>
            <w:r w:rsidR="00657E25">
              <w:rPr>
                <w:rStyle w:val="a7"/>
                <w:rFonts w:hint="eastAsia"/>
              </w:rPr>
              <w:t>元</w:t>
            </w:r>
          </w:p>
        </w:tc>
        <w:tc>
          <w:tcPr>
            <w:tcW w:w="1134" w:type="dxa"/>
          </w:tcPr>
          <w:p w:rsidR="00657E25" w:rsidRDefault="00657E25" w:rsidP="008E5655">
            <w:pPr>
              <w:jc w:val="center"/>
              <w:cnfStyle w:val="000000000000"/>
              <w:rPr>
                <w:rStyle w:val="a7"/>
              </w:rPr>
            </w:pPr>
            <w:r>
              <w:rPr>
                <w:rStyle w:val="a7"/>
                <w:rFonts w:hint="eastAsia"/>
              </w:rPr>
              <w:t>5%</w:t>
            </w:r>
          </w:p>
        </w:tc>
        <w:tc>
          <w:tcPr>
            <w:tcW w:w="1134" w:type="dxa"/>
          </w:tcPr>
          <w:p w:rsidR="00657E25" w:rsidRDefault="009F331F" w:rsidP="008E5655">
            <w:pPr>
              <w:jc w:val="center"/>
              <w:cnfStyle w:val="000000000000"/>
              <w:rPr>
                <w:rStyle w:val="a7"/>
              </w:rPr>
            </w:pPr>
            <w:r>
              <w:rPr>
                <w:rStyle w:val="a7"/>
                <w:rFonts w:hint="eastAsia"/>
              </w:rPr>
              <w:t>3</w:t>
            </w:r>
            <w:r w:rsidR="00657E25">
              <w:rPr>
                <w:rStyle w:val="a7"/>
                <w:rFonts w:hint="eastAsia"/>
              </w:rPr>
              <w:t>年</w:t>
            </w:r>
          </w:p>
        </w:tc>
        <w:tc>
          <w:tcPr>
            <w:tcW w:w="2551" w:type="dxa"/>
          </w:tcPr>
          <w:p w:rsidR="00657E25" w:rsidRDefault="00657E25" w:rsidP="008E5655">
            <w:pPr>
              <w:jc w:val="center"/>
              <w:cnfStyle w:val="000000000000"/>
              <w:rPr>
                <w:rStyle w:val="a7"/>
              </w:rPr>
            </w:pPr>
            <w:r>
              <w:rPr>
                <w:rStyle w:val="a7"/>
                <w:rFonts w:hint="eastAsia"/>
              </w:rPr>
              <w:t>/</w:t>
            </w:r>
          </w:p>
        </w:tc>
        <w:tc>
          <w:tcPr>
            <w:tcW w:w="1610" w:type="dxa"/>
          </w:tcPr>
          <w:p w:rsidR="00657E25" w:rsidRDefault="00657E25" w:rsidP="008E5655">
            <w:pPr>
              <w:jc w:val="center"/>
              <w:cnfStyle w:val="000000000000"/>
              <w:rPr>
                <w:rStyle w:val="a7"/>
              </w:rPr>
            </w:pPr>
            <w:r>
              <w:rPr>
                <w:rStyle w:val="a7"/>
                <w:rFonts w:hint="eastAsia"/>
              </w:rPr>
              <w:t>/</w:t>
            </w:r>
          </w:p>
        </w:tc>
      </w:tr>
    </w:tbl>
    <w:p w:rsidR="009A3AC6" w:rsidRPr="009A3AC6" w:rsidRDefault="009A3AC6" w:rsidP="009A3AC6">
      <w:pPr>
        <w:rPr>
          <w:rStyle w:val="a7"/>
        </w:rPr>
      </w:pPr>
    </w:p>
    <w:p w:rsidR="009A3AC6" w:rsidRDefault="00614658" w:rsidP="009A3AC6">
      <w:pPr>
        <w:rPr>
          <w:rStyle w:val="a7"/>
        </w:rPr>
      </w:pPr>
      <w:r>
        <w:rPr>
          <w:rStyle w:val="a7"/>
          <w:rFonts w:hint="eastAsia"/>
        </w:rPr>
        <w:t>附表三</w:t>
      </w:r>
      <w:r w:rsidR="009A3AC6" w:rsidRPr="009A3AC6">
        <w:rPr>
          <w:rStyle w:val="a7"/>
          <w:rFonts w:hint="eastAsia"/>
        </w:rPr>
        <w:t xml:space="preserve">  </w:t>
      </w:r>
      <w:r w:rsidR="009A3AC6" w:rsidRPr="009A3AC6">
        <w:rPr>
          <w:rStyle w:val="a7"/>
          <w:rFonts w:hint="eastAsia"/>
        </w:rPr>
        <w:t>发债</w:t>
      </w:r>
    </w:p>
    <w:tbl>
      <w:tblPr>
        <w:tblStyle w:val="1-2"/>
        <w:tblW w:w="0" w:type="auto"/>
        <w:tblLook w:val="04A0"/>
      </w:tblPr>
      <w:tblGrid>
        <w:gridCol w:w="1101"/>
        <w:gridCol w:w="1134"/>
        <w:gridCol w:w="992"/>
        <w:gridCol w:w="2126"/>
        <w:gridCol w:w="1559"/>
        <w:gridCol w:w="1610"/>
      </w:tblGrid>
      <w:tr w:rsidR="002D532B" w:rsidTr="00291C7F">
        <w:trPr>
          <w:cnfStyle w:val="100000000000"/>
        </w:trPr>
        <w:tc>
          <w:tcPr>
            <w:cnfStyle w:val="001000000000"/>
            <w:tcW w:w="8522" w:type="dxa"/>
            <w:gridSpan w:val="6"/>
          </w:tcPr>
          <w:p w:rsidR="002D532B" w:rsidRDefault="002D532B" w:rsidP="002D532B">
            <w:pPr>
              <w:jc w:val="center"/>
              <w:rPr>
                <w:rStyle w:val="a7"/>
              </w:rPr>
            </w:pPr>
            <w:r>
              <w:rPr>
                <w:rStyle w:val="a7"/>
              </w:rPr>
              <w:t>发债方案</w:t>
            </w:r>
          </w:p>
        </w:tc>
      </w:tr>
      <w:tr w:rsidR="002D532B" w:rsidTr="007138B3">
        <w:trPr>
          <w:cnfStyle w:val="000000100000"/>
        </w:trPr>
        <w:tc>
          <w:tcPr>
            <w:cnfStyle w:val="001000000000"/>
            <w:tcW w:w="1101" w:type="dxa"/>
          </w:tcPr>
          <w:p w:rsidR="002D532B" w:rsidRDefault="002D532B" w:rsidP="002D532B">
            <w:pPr>
              <w:jc w:val="center"/>
              <w:rPr>
                <w:rStyle w:val="a7"/>
              </w:rPr>
            </w:pPr>
            <w:r>
              <w:rPr>
                <w:rStyle w:val="a7"/>
              </w:rPr>
              <w:t>起始金额</w:t>
            </w:r>
            <w:r>
              <w:rPr>
                <w:rStyle w:val="a7"/>
                <w:rFonts w:hint="eastAsia"/>
              </w:rPr>
              <w:t>/</w:t>
            </w:r>
            <w:r>
              <w:rPr>
                <w:rStyle w:val="a7"/>
                <w:rFonts w:hint="eastAsia"/>
              </w:rPr>
              <w:t>元</w:t>
            </w:r>
          </w:p>
        </w:tc>
        <w:tc>
          <w:tcPr>
            <w:tcW w:w="1134" w:type="dxa"/>
          </w:tcPr>
          <w:p w:rsidR="002D532B" w:rsidRDefault="002D532B" w:rsidP="002D532B">
            <w:pPr>
              <w:jc w:val="center"/>
              <w:cnfStyle w:val="000000100000"/>
              <w:rPr>
                <w:rStyle w:val="a7"/>
              </w:rPr>
            </w:pPr>
            <w:r>
              <w:rPr>
                <w:rStyle w:val="a7"/>
              </w:rPr>
              <w:t>借款期限</w:t>
            </w:r>
            <w:r>
              <w:rPr>
                <w:rStyle w:val="a7"/>
                <w:rFonts w:hint="eastAsia"/>
              </w:rPr>
              <w:t>/</w:t>
            </w:r>
            <w:r>
              <w:rPr>
                <w:rStyle w:val="a7"/>
                <w:rFonts w:hint="eastAsia"/>
              </w:rPr>
              <w:t>年</w:t>
            </w:r>
          </w:p>
        </w:tc>
        <w:tc>
          <w:tcPr>
            <w:tcW w:w="992" w:type="dxa"/>
          </w:tcPr>
          <w:p w:rsidR="002D532B" w:rsidRDefault="002D532B" w:rsidP="002D532B">
            <w:pPr>
              <w:jc w:val="center"/>
              <w:cnfStyle w:val="000000100000"/>
              <w:rPr>
                <w:rStyle w:val="a7"/>
              </w:rPr>
            </w:pPr>
            <w:r>
              <w:rPr>
                <w:rStyle w:val="a7"/>
              </w:rPr>
              <w:t>约定利息</w:t>
            </w:r>
            <w:r>
              <w:rPr>
                <w:rStyle w:val="a7"/>
                <w:rFonts w:hint="eastAsia"/>
              </w:rPr>
              <w:t>/</w:t>
            </w:r>
            <w:r>
              <w:rPr>
                <w:rStyle w:val="a7"/>
                <w:rFonts w:hint="eastAsia"/>
              </w:rPr>
              <w:t>年</w:t>
            </w:r>
          </w:p>
        </w:tc>
        <w:tc>
          <w:tcPr>
            <w:tcW w:w="2126" w:type="dxa"/>
          </w:tcPr>
          <w:p w:rsidR="002D532B" w:rsidRDefault="002D532B" w:rsidP="002D532B">
            <w:pPr>
              <w:jc w:val="center"/>
              <w:cnfStyle w:val="000000100000"/>
              <w:rPr>
                <w:rStyle w:val="a7"/>
              </w:rPr>
            </w:pPr>
            <w:r>
              <w:rPr>
                <w:rStyle w:val="a7"/>
              </w:rPr>
              <w:t>还本付息方式</w:t>
            </w:r>
          </w:p>
        </w:tc>
        <w:tc>
          <w:tcPr>
            <w:tcW w:w="1559" w:type="dxa"/>
          </w:tcPr>
          <w:p w:rsidR="002D532B" w:rsidRDefault="002D532B" w:rsidP="002D532B">
            <w:pPr>
              <w:jc w:val="center"/>
              <w:cnfStyle w:val="000000100000"/>
              <w:rPr>
                <w:rStyle w:val="a7"/>
              </w:rPr>
            </w:pPr>
            <w:r>
              <w:rPr>
                <w:rStyle w:val="a7"/>
              </w:rPr>
              <w:t>偿还日期</w:t>
            </w:r>
          </w:p>
        </w:tc>
        <w:tc>
          <w:tcPr>
            <w:tcW w:w="1610" w:type="dxa"/>
          </w:tcPr>
          <w:p w:rsidR="002D532B" w:rsidRDefault="008C61D5" w:rsidP="002D532B">
            <w:pPr>
              <w:jc w:val="center"/>
              <w:cnfStyle w:val="000000100000"/>
              <w:rPr>
                <w:rStyle w:val="a7"/>
              </w:rPr>
            </w:pPr>
            <w:r>
              <w:rPr>
                <w:rStyle w:val="a7"/>
                <w:rFonts w:hint="eastAsia"/>
              </w:rPr>
              <w:t>备注</w:t>
            </w:r>
          </w:p>
        </w:tc>
      </w:tr>
      <w:tr w:rsidR="002D532B" w:rsidTr="007138B3">
        <w:tc>
          <w:tcPr>
            <w:cnfStyle w:val="001000000000"/>
            <w:tcW w:w="1101" w:type="dxa"/>
          </w:tcPr>
          <w:p w:rsidR="002D532B" w:rsidRDefault="002D532B" w:rsidP="002D532B">
            <w:pPr>
              <w:jc w:val="center"/>
              <w:rPr>
                <w:rStyle w:val="a7"/>
              </w:rPr>
            </w:pPr>
            <w:r>
              <w:rPr>
                <w:rStyle w:val="a7"/>
                <w:rFonts w:hint="eastAsia"/>
              </w:rPr>
              <w:t>10000</w:t>
            </w:r>
            <w:r>
              <w:rPr>
                <w:rStyle w:val="a7"/>
                <w:rFonts w:hint="eastAsia"/>
              </w:rPr>
              <w:t>元</w:t>
            </w:r>
          </w:p>
        </w:tc>
        <w:tc>
          <w:tcPr>
            <w:tcW w:w="1134" w:type="dxa"/>
          </w:tcPr>
          <w:p w:rsidR="002D532B" w:rsidRDefault="00D24C31" w:rsidP="002D532B">
            <w:pPr>
              <w:jc w:val="center"/>
              <w:cnfStyle w:val="000000000000"/>
              <w:rPr>
                <w:rStyle w:val="a7"/>
              </w:rPr>
            </w:pPr>
            <w:r>
              <w:rPr>
                <w:rStyle w:val="a7"/>
                <w:rFonts w:hint="eastAsia"/>
              </w:rPr>
              <w:t>1</w:t>
            </w:r>
            <w:r w:rsidR="002D532B">
              <w:rPr>
                <w:rStyle w:val="a7"/>
              </w:rPr>
              <w:t>年</w:t>
            </w:r>
            <w:r w:rsidR="004B7CC5">
              <w:rPr>
                <w:rStyle w:val="a7"/>
                <w:rFonts w:hint="eastAsia"/>
              </w:rPr>
              <w:t>~</w:t>
            </w:r>
            <w:r w:rsidR="007138B3">
              <w:rPr>
                <w:rStyle w:val="a7"/>
                <w:rFonts w:hint="eastAsia"/>
              </w:rPr>
              <w:t>3</w:t>
            </w:r>
            <w:r w:rsidR="007138B3">
              <w:rPr>
                <w:rStyle w:val="a7"/>
                <w:rFonts w:hint="eastAsia"/>
              </w:rPr>
              <w:t>年</w:t>
            </w:r>
          </w:p>
        </w:tc>
        <w:tc>
          <w:tcPr>
            <w:tcW w:w="992" w:type="dxa"/>
          </w:tcPr>
          <w:p w:rsidR="002D532B" w:rsidRDefault="002D532B" w:rsidP="002D532B">
            <w:pPr>
              <w:jc w:val="center"/>
              <w:cnfStyle w:val="000000000000"/>
              <w:rPr>
                <w:rStyle w:val="a7"/>
              </w:rPr>
            </w:pPr>
            <w:r>
              <w:rPr>
                <w:rStyle w:val="a7"/>
                <w:rFonts w:hint="eastAsia"/>
              </w:rPr>
              <w:t>12%</w:t>
            </w:r>
          </w:p>
        </w:tc>
        <w:tc>
          <w:tcPr>
            <w:tcW w:w="2126" w:type="dxa"/>
          </w:tcPr>
          <w:p w:rsidR="002D532B" w:rsidRDefault="002D532B" w:rsidP="002D532B">
            <w:pPr>
              <w:jc w:val="center"/>
              <w:cnfStyle w:val="000000000000"/>
              <w:rPr>
                <w:rStyle w:val="a7"/>
              </w:rPr>
            </w:pPr>
            <w:r>
              <w:rPr>
                <w:rStyle w:val="a7"/>
              </w:rPr>
              <w:t>按年付息</w:t>
            </w:r>
            <w:r>
              <w:rPr>
                <w:rStyle w:val="a7"/>
                <w:rFonts w:hint="eastAsia"/>
              </w:rPr>
              <w:t>/</w:t>
            </w:r>
            <w:r>
              <w:rPr>
                <w:rStyle w:val="a7"/>
                <w:rFonts w:hint="eastAsia"/>
              </w:rPr>
              <w:t>到期后</w:t>
            </w:r>
            <w:r>
              <w:rPr>
                <w:rStyle w:val="a7"/>
              </w:rPr>
              <w:t>本息一并结清（可续）</w:t>
            </w:r>
          </w:p>
        </w:tc>
        <w:tc>
          <w:tcPr>
            <w:tcW w:w="1559" w:type="dxa"/>
          </w:tcPr>
          <w:p w:rsidR="002D532B" w:rsidRDefault="002D532B" w:rsidP="002D532B">
            <w:pPr>
              <w:jc w:val="center"/>
              <w:cnfStyle w:val="000000000000"/>
              <w:rPr>
                <w:rStyle w:val="a7"/>
              </w:rPr>
            </w:pPr>
            <w:r>
              <w:rPr>
                <w:rStyle w:val="a7"/>
              </w:rPr>
              <w:t>到期后一个月内</w:t>
            </w:r>
          </w:p>
        </w:tc>
        <w:tc>
          <w:tcPr>
            <w:tcW w:w="1610" w:type="dxa"/>
          </w:tcPr>
          <w:p w:rsidR="002D532B" w:rsidRDefault="00115CC5" w:rsidP="002D532B">
            <w:pPr>
              <w:jc w:val="center"/>
              <w:cnfStyle w:val="000000000000"/>
              <w:rPr>
                <w:rStyle w:val="a7"/>
              </w:rPr>
            </w:pPr>
            <w:r>
              <w:rPr>
                <w:rStyle w:val="a7"/>
                <w:rFonts w:hint="eastAsia"/>
              </w:rPr>
              <w:t>信用及公司资产抵押</w:t>
            </w:r>
          </w:p>
        </w:tc>
      </w:tr>
    </w:tbl>
    <w:p w:rsidR="001807E4" w:rsidRDefault="001807E4" w:rsidP="009A3AC6">
      <w:pPr>
        <w:rPr>
          <w:rStyle w:val="a7"/>
        </w:rPr>
      </w:pPr>
    </w:p>
    <w:sectPr w:rsidR="001807E4" w:rsidSect="00871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619" w:rsidRDefault="00F75619" w:rsidP="00071831">
      <w:r>
        <w:separator/>
      </w:r>
    </w:p>
  </w:endnote>
  <w:endnote w:type="continuationSeparator" w:id="0">
    <w:p w:rsidR="00F75619" w:rsidRDefault="00F75619" w:rsidP="00071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619" w:rsidRDefault="00F75619" w:rsidP="00071831">
      <w:r>
        <w:separator/>
      </w:r>
    </w:p>
  </w:footnote>
  <w:footnote w:type="continuationSeparator" w:id="0">
    <w:p w:rsidR="00F75619" w:rsidRDefault="00F75619" w:rsidP="00071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CC2"/>
    <w:multiLevelType w:val="hybridMultilevel"/>
    <w:tmpl w:val="B1464666"/>
    <w:lvl w:ilvl="0" w:tplc="36F854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C530328"/>
    <w:multiLevelType w:val="hybridMultilevel"/>
    <w:tmpl w:val="BCDAA73E"/>
    <w:lvl w:ilvl="0" w:tplc="30DCC1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F2363B1"/>
    <w:multiLevelType w:val="hybridMultilevel"/>
    <w:tmpl w:val="6464DB40"/>
    <w:lvl w:ilvl="0" w:tplc="1DF82F00">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4373DD0"/>
    <w:multiLevelType w:val="hybridMultilevel"/>
    <w:tmpl w:val="093A5ED4"/>
    <w:lvl w:ilvl="0" w:tplc="CFCC62B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1D17C11"/>
    <w:multiLevelType w:val="hybridMultilevel"/>
    <w:tmpl w:val="5BBCA0D4"/>
    <w:lvl w:ilvl="0" w:tplc="20BE689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A117F4"/>
    <w:multiLevelType w:val="hybridMultilevel"/>
    <w:tmpl w:val="C2C2134C"/>
    <w:lvl w:ilvl="0" w:tplc="8F8EAE0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B874FDD"/>
    <w:multiLevelType w:val="hybridMultilevel"/>
    <w:tmpl w:val="7D0EEEF2"/>
    <w:lvl w:ilvl="0" w:tplc="90D4C2F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FA5750B"/>
    <w:multiLevelType w:val="hybridMultilevel"/>
    <w:tmpl w:val="93F48884"/>
    <w:lvl w:ilvl="0" w:tplc="4F1E8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AB2D1D"/>
    <w:multiLevelType w:val="hybridMultilevel"/>
    <w:tmpl w:val="97B8074C"/>
    <w:lvl w:ilvl="0" w:tplc="CC9C14C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66F93BA1"/>
    <w:multiLevelType w:val="hybridMultilevel"/>
    <w:tmpl w:val="E014E22A"/>
    <w:lvl w:ilvl="0" w:tplc="CCDC9FC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F33356"/>
    <w:multiLevelType w:val="hybridMultilevel"/>
    <w:tmpl w:val="0694DBF0"/>
    <w:lvl w:ilvl="0" w:tplc="3F8A0D5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DCF6DCF"/>
    <w:multiLevelType w:val="hybridMultilevel"/>
    <w:tmpl w:val="8C74E6D6"/>
    <w:lvl w:ilvl="0" w:tplc="F3EA14F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D492181"/>
    <w:multiLevelType w:val="hybridMultilevel"/>
    <w:tmpl w:val="E6AE4F88"/>
    <w:lvl w:ilvl="0" w:tplc="25E4F60C">
      <w:start w:val="1"/>
      <w:numFmt w:val="decimal"/>
      <w:lvlText w:val="%1、"/>
      <w:lvlJc w:val="left"/>
      <w:pPr>
        <w:ind w:left="1260" w:hanging="795"/>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9"/>
  </w:num>
  <w:num w:numId="2">
    <w:abstractNumId w:val="4"/>
  </w:num>
  <w:num w:numId="3">
    <w:abstractNumId w:val="2"/>
  </w:num>
  <w:num w:numId="4">
    <w:abstractNumId w:val="5"/>
  </w:num>
  <w:num w:numId="5">
    <w:abstractNumId w:val="7"/>
  </w:num>
  <w:num w:numId="6">
    <w:abstractNumId w:val="3"/>
  </w:num>
  <w:num w:numId="7">
    <w:abstractNumId w:val="1"/>
  </w:num>
  <w:num w:numId="8">
    <w:abstractNumId w:val="10"/>
  </w:num>
  <w:num w:numId="9">
    <w:abstractNumId w:val="6"/>
  </w:num>
  <w:num w:numId="10">
    <w:abstractNumId w:val="8"/>
  </w:num>
  <w:num w:numId="11">
    <w:abstractNumId w:val="11"/>
  </w:num>
  <w:num w:numId="12">
    <w:abstractNumId w:val="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3831"/>
    <w:rsid w:val="00021313"/>
    <w:rsid w:val="00031E3F"/>
    <w:rsid w:val="00051CBC"/>
    <w:rsid w:val="00052E2F"/>
    <w:rsid w:val="00071831"/>
    <w:rsid w:val="00073ACC"/>
    <w:rsid w:val="000916AB"/>
    <w:rsid w:val="000E6077"/>
    <w:rsid w:val="001143D2"/>
    <w:rsid w:val="00115CC5"/>
    <w:rsid w:val="00130C4E"/>
    <w:rsid w:val="0013170D"/>
    <w:rsid w:val="001365D3"/>
    <w:rsid w:val="001807E4"/>
    <w:rsid w:val="0018633A"/>
    <w:rsid w:val="00193239"/>
    <w:rsid w:val="001C34AB"/>
    <w:rsid w:val="002B3A0C"/>
    <w:rsid w:val="002D532B"/>
    <w:rsid w:val="002E0EE5"/>
    <w:rsid w:val="002E7492"/>
    <w:rsid w:val="002F73D9"/>
    <w:rsid w:val="0035280B"/>
    <w:rsid w:val="00397475"/>
    <w:rsid w:val="003A1668"/>
    <w:rsid w:val="003C30C5"/>
    <w:rsid w:val="003D05C6"/>
    <w:rsid w:val="003F3127"/>
    <w:rsid w:val="00473F9B"/>
    <w:rsid w:val="004B7CC5"/>
    <w:rsid w:val="0051347C"/>
    <w:rsid w:val="00514B56"/>
    <w:rsid w:val="00541E67"/>
    <w:rsid w:val="00552E07"/>
    <w:rsid w:val="005653E7"/>
    <w:rsid w:val="0057119E"/>
    <w:rsid w:val="005734E9"/>
    <w:rsid w:val="005D1231"/>
    <w:rsid w:val="005D2A58"/>
    <w:rsid w:val="005E3831"/>
    <w:rsid w:val="006054A6"/>
    <w:rsid w:val="00614658"/>
    <w:rsid w:val="00657E25"/>
    <w:rsid w:val="006640E1"/>
    <w:rsid w:val="00674202"/>
    <w:rsid w:val="0069557C"/>
    <w:rsid w:val="006C249E"/>
    <w:rsid w:val="006D6C62"/>
    <w:rsid w:val="006F0920"/>
    <w:rsid w:val="007033B5"/>
    <w:rsid w:val="007138B3"/>
    <w:rsid w:val="0071628B"/>
    <w:rsid w:val="00754940"/>
    <w:rsid w:val="00782CC8"/>
    <w:rsid w:val="007A1D49"/>
    <w:rsid w:val="007D4705"/>
    <w:rsid w:val="007E6903"/>
    <w:rsid w:val="00814965"/>
    <w:rsid w:val="00823E4C"/>
    <w:rsid w:val="00856288"/>
    <w:rsid w:val="008714D7"/>
    <w:rsid w:val="008C61D5"/>
    <w:rsid w:val="008E5655"/>
    <w:rsid w:val="00912657"/>
    <w:rsid w:val="00920952"/>
    <w:rsid w:val="00922E45"/>
    <w:rsid w:val="00925E2F"/>
    <w:rsid w:val="0096141C"/>
    <w:rsid w:val="009904A3"/>
    <w:rsid w:val="0099353D"/>
    <w:rsid w:val="009A0E8D"/>
    <w:rsid w:val="009A3AC6"/>
    <w:rsid w:val="009B6569"/>
    <w:rsid w:val="009C0220"/>
    <w:rsid w:val="009E5FCB"/>
    <w:rsid w:val="009F331F"/>
    <w:rsid w:val="00A069BC"/>
    <w:rsid w:val="00A23EFC"/>
    <w:rsid w:val="00A7551C"/>
    <w:rsid w:val="00A947AB"/>
    <w:rsid w:val="00AD1EE3"/>
    <w:rsid w:val="00B139C2"/>
    <w:rsid w:val="00B659D7"/>
    <w:rsid w:val="00B92D86"/>
    <w:rsid w:val="00B95A2B"/>
    <w:rsid w:val="00BB54F6"/>
    <w:rsid w:val="00BB5795"/>
    <w:rsid w:val="00BB7D3B"/>
    <w:rsid w:val="00BE4E2E"/>
    <w:rsid w:val="00C10DFA"/>
    <w:rsid w:val="00C82C6D"/>
    <w:rsid w:val="00C82CF0"/>
    <w:rsid w:val="00CB04DA"/>
    <w:rsid w:val="00D07E47"/>
    <w:rsid w:val="00D21337"/>
    <w:rsid w:val="00D24C31"/>
    <w:rsid w:val="00D60142"/>
    <w:rsid w:val="00D85F86"/>
    <w:rsid w:val="00D867AC"/>
    <w:rsid w:val="00D9425B"/>
    <w:rsid w:val="00DA1E49"/>
    <w:rsid w:val="00DF75AE"/>
    <w:rsid w:val="00E23169"/>
    <w:rsid w:val="00E33706"/>
    <w:rsid w:val="00E46ECD"/>
    <w:rsid w:val="00E92415"/>
    <w:rsid w:val="00EA3EA9"/>
    <w:rsid w:val="00EA457C"/>
    <w:rsid w:val="00EB1E9B"/>
    <w:rsid w:val="00ED6AA2"/>
    <w:rsid w:val="00EF6793"/>
    <w:rsid w:val="00F03A04"/>
    <w:rsid w:val="00F364F2"/>
    <w:rsid w:val="00F62A7D"/>
    <w:rsid w:val="00F75619"/>
    <w:rsid w:val="00F81416"/>
    <w:rsid w:val="00F87A73"/>
    <w:rsid w:val="00FE1BF4"/>
    <w:rsid w:val="00FF5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4D7"/>
    <w:pPr>
      <w:widowControl w:val="0"/>
      <w:jc w:val="both"/>
    </w:pPr>
  </w:style>
  <w:style w:type="paragraph" w:styleId="1">
    <w:name w:val="heading 1"/>
    <w:basedOn w:val="a"/>
    <w:next w:val="a"/>
    <w:link w:val="1Char"/>
    <w:uiPriority w:val="9"/>
    <w:qFormat/>
    <w:rsid w:val="000718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831"/>
    <w:pPr>
      <w:ind w:firstLineChars="200" w:firstLine="420"/>
    </w:pPr>
  </w:style>
  <w:style w:type="paragraph" w:styleId="a4">
    <w:name w:val="Title"/>
    <w:basedOn w:val="a"/>
    <w:next w:val="a"/>
    <w:link w:val="Char"/>
    <w:uiPriority w:val="10"/>
    <w:qFormat/>
    <w:rsid w:val="005E3831"/>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5E3831"/>
    <w:rPr>
      <w:rFonts w:asciiTheme="majorHAnsi" w:eastAsia="宋体" w:hAnsiTheme="majorHAnsi" w:cstheme="majorBidi"/>
      <w:b/>
      <w:bCs/>
      <w:sz w:val="32"/>
      <w:szCs w:val="32"/>
    </w:rPr>
  </w:style>
  <w:style w:type="paragraph" w:styleId="a5">
    <w:name w:val="header"/>
    <w:basedOn w:val="a"/>
    <w:link w:val="Char0"/>
    <w:uiPriority w:val="99"/>
    <w:semiHidden/>
    <w:unhideWhenUsed/>
    <w:rsid w:val="000718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71831"/>
    <w:rPr>
      <w:sz w:val="18"/>
      <w:szCs w:val="18"/>
    </w:rPr>
  </w:style>
  <w:style w:type="paragraph" w:styleId="a6">
    <w:name w:val="footer"/>
    <w:basedOn w:val="a"/>
    <w:link w:val="Char1"/>
    <w:uiPriority w:val="99"/>
    <w:semiHidden/>
    <w:unhideWhenUsed/>
    <w:rsid w:val="00071831"/>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71831"/>
    <w:rPr>
      <w:sz w:val="18"/>
      <w:szCs w:val="18"/>
    </w:rPr>
  </w:style>
  <w:style w:type="character" w:customStyle="1" w:styleId="1Char">
    <w:name w:val="标题 1 Char"/>
    <w:basedOn w:val="a0"/>
    <w:link w:val="1"/>
    <w:uiPriority w:val="9"/>
    <w:rsid w:val="00071831"/>
    <w:rPr>
      <w:b/>
      <w:bCs/>
      <w:kern w:val="44"/>
      <w:sz w:val="44"/>
      <w:szCs w:val="44"/>
    </w:rPr>
  </w:style>
  <w:style w:type="character" w:styleId="a7">
    <w:name w:val="Strong"/>
    <w:basedOn w:val="a0"/>
    <w:uiPriority w:val="22"/>
    <w:qFormat/>
    <w:rsid w:val="00C10DFA"/>
    <w:rPr>
      <w:b/>
      <w:bCs/>
    </w:rPr>
  </w:style>
  <w:style w:type="table" w:styleId="a8">
    <w:name w:val="Table Grid"/>
    <w:basedOn w:val="a1"/>
    <w:uiPriority w:val="59"/>
    <w:rsid w:val="00FE1B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2">
    <w:name w:val="Medium Grid 3 Accent 2"/>
    <w:basedOn w:val="a1"/>
    <w:uiPriority w:val="69"/>
    <w:rsid w:val="00FE1B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1"/>
    <w:uiPriority w:val="69"/>
    <w:rsid w:val="00FE1B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2-1">
    <w:name w:val="Medium Grid 2 Accent 1"/>
    <w:basedOn w:val="a1"/>
    <w:uiPriority w:val="68"/>
    <w:rsid w:val="00FE1BF4"/>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1"/>
    <w:uiPriority w:val="68"/>
    <w:rsid w:val="00FE1BF4"/>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1-2">
    <w:name w:val="Medium Grid 1 Accent 2"/>
    <w:basedOn w:val="a1"/>
    <w:uiPriority w:val="67"/>
    <w:rsid w:val="009A3AC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Shading Accent 3"/>
    <w:basedOn w:val="a1"/>
    <w:uiPriority w:val="71"/>
    <w:rsid w:val="0013170D"/>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paragraph" w:styleId="a9">
    <w:name w:val="Balloon Text"/>
    <w:basedOn w:val="a"/>
    <w:link w:val="Char2"/>
    <w:uiPriority w:val="99"/>
    <w:semiHidden/>
    <w:unhideWhenUsed/>
    <w:rsid w:val="00D60142"/>
    <w:rPr>
      <w:sz w:val="18"/>
      <w:szCs w:val="18"/>
    </w:rPr>
  </w:style>
  <w:style w:type="character" w:customStyle="1" w:styleId="Char2">
    <w:name w:val="批注框文本 Char"/>
    <w:basedOn w:val="a0"/>
    <w:link w:val="a9"/>
    <w:uiPriority w:val="99"/>
    <w:semiHidden/>
    <w:rsid w:val="00D60142"/>
    <w:rPr>
      <w:sz w:val="18"/>
      <w:szCs w:val="18"/>
    </w:rPr>
  </w:style>
  <w:style w:type="paragraph" w:styleId="aa">
    <w:name w:val="Subtitle"/>
    <w:basedOn w:val="a"/>
    <w:next w:val="a"/>
    <w:link w:val="Char3"/>
    <w:uiPriority w:val="11"/>
    <w:qFormat/>
    <w:rsid w:val="002E0EE5"/>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a"/>
    <w:uiPriority w:val="11"/>
    <w:rsid w:val="002E0EE5"/>
    <w:rPr>
      <w:rFonts w:asciiTheme="majorHAnsi" w:eastAsia="宋体" w:hAnsiTheme="majorHAnsi" w:cstheme="majorBidi"/>
      <w:b/>
      <w:bCs/>
      <w:kern w:val="28"/>
      <w:sz w:val="32"/>
      <w:szCs w:val="32"/>
    </w:rPr>
  </w:style>
  <w:style w:type="character" w:styleId="ab">
    <w:name w:val="Hyperlink"/>
    <w:basedOn w:val="a0"/>
    <w:uiPriority w:val="99"/>
    <w:unhideWhenUsed/>
    <w:rsid w:val="00E9241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ilai.pro" TargetMode="External"/><Relationship Id="rId3" Type="http://schemas.openxmlformats.org/officeDocument/2006/relationships/settings" Target="settings.xml"/><Relationship Id="rId7" Type="http://schemas.openxmlformats.org/officeDocument/2006/relationships/hyperlink" Target="http://www.weilaikongg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230</Words>
  <Characters>1315</Characters>
  <Application>Microsoft Office Word</Application>
  <DocSecurity>0</DocSecurity>
  <Lines>10</Lines>
  <Paragraphs>3</Paragraphs>
  <ScaleCrop>false</ScaleCrop>
  <Company>Microsoft</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10</cp:revision>
  <dcterms:created xsi:type="dcterms:W3CDTF">2019-01-18T14:30:00Z</dcterms:created>
  <dcterms:modified xsi:type="dcterms:W3CDTF">2019-01-18T15:16:00Z</dcterms:modified>
</cp:coreProperties>
</file>